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E4A01" w14:textId="671598E5" w:rsidR="00DB5872" w:rsidRPr="009F79C2" w:rsidRDefault="00DB5872" w:rsidP="009F79C2">
      <w:pPr>
        <w:spacing w:line="360" w:lineRule="auto"/>
        <w:jc w:val="both"/>
        <w:rPr>
          <w:rFonts w:ascii="Times New Roman" w:hAnsi="Times New Roman" w:cs="Times New Roman"/>
          <w:b/>
          <w:bCs/>
          <w:sz w:val="24"/>
          <w:szCs w:val="24"/>
        </w:rPr>
      </w:pPr>
      <w:r w:rsidRPr="009F79C2">
        <w:rPr>
          <w:rFonts w:ascii="Times New Roman" w:hAnsi="Times New Roman" w:cs="Times New Roman"/>
          <w:b/>
          <w:bCs/>
          <w:sz w:val="24"/>
          <w:szCs w:val="24"/>
        </w:rPr>
        <w:t>General:</w:t>
      </w:r>
    </w:p>
    <w:p w14:paraId="2B07BAD8" w14:textId="23BC616B" w:rsidR="00517BBB" w:rsidRPr="009F79C2" w:rsidRDefault="00517BBB" w:rsidP="009F79C2">
      <w:pPr>
        <w:spacing w:before="120" w:after="120" w:line="360" w:lineRule="auto"/>
        <w:jc w:val="both"/>
        <w:rPr>
          <w:rFonts w:ascii="Times New Roman" w:hAnsi="Times New Roman" w:cs="Times New Roman"/>
          <w:sz w:val="24"/>
          <w:szCs w:val="24"/>
        </w:rPr>
      </w:pPr>
      <w:r w:rsidRPr="009F79C2">
        <w:rPr>
          <w:rFonts w:ascii="Times New Roman" w:hAnsi="Times New Roman" w:cs="Times New Roman"/>
          <w:sz w:val="24"/>
          <w:szCs w:val="24"/>
        </w:rPr>
        <w:t>Central Electricity Regulatory Commission (Terms and Conditions of Tariff) Regulations primarily deals with determination/fixation of tariff under section 62 of the Electricity Act, 2003 for applicable Generating Stations, Transmission assets etc.</w:t>
      </w:r>
    </w:p>
    <w:p w14:paraId="0E33B0E3" w14:textId="421ED387" w:rsidR="00517BBB" w:rsidRDefault="00517BBB" w:rsidP="009F79C2">
      <w:pPr>
        <w:spacing w:before="120" w:after="120" w:line="360" w:lineRule="auto"/>
        <w:jc w:val="both"/>
        <w:rPr>
          <w:rFonts w:ascii="Times New Roman" w:hAnsi="Times New Roman" w:cs="Times New Roman"/>
          <w:sz w:val="24"/>
          <w:szCs w:val="24"/>
        </w:rPr>
      </w:pPr>
      <w:r w:rsidRPr="009F79C2">
        <w:rPr>
          <w:rFonts w:ascii="Times New Roman" w:hAnsi="Times New Roman" w:cs="Times New Roman"/>
          <w:sz w:val="24"/>
          <w:szCs w:val="24"/>
        </w:rPr>
        <w:t>However, it is very surprising to observe that since first of such regulation,</w:t>
      </w:r>
      <w:r w:rsidR="00551E83">
        <w:rPr>
          <w:rFonts w:ascii="Times New Roman" w:hAnsi="Times New Roman" w:cs="Times New Roman"/>
          <w:sz w:val="24"/>
          <w:szCs w:val="24"/>
        </w:rPr>
        <w:t xml:space="preserve"> </w:t>
      </w:r>
      <w:r w:rsidR="00551E83" w:rsidRPr="009F79C2">
        <w:rPr>
          <w:rFonts w:ascii="Times New Roman" w:hAnsi="Times New Roman" w:cs="Times New Roman"/>
          <w:sz w:val="24"/>
          <w:szCs w:val="24"/>
        </w:rPr>
        <w:t>Hon’ble Commission has</w:t>
      </w:r>
      <w:r w:rsidR="00551E83">
        <w:rPr>
          <w:rFonts w:ascii="Times New Roman" w:hAnsi="Times New Roman" w:cs="Times New Roman"/>
          <w:sz w:val="24"/>
          <w:szCs w:val="24"/>
        </w:rPr>
        <w:t xml:space="preserve"> confined to determination of tariff without taking cognizance to Sub-section 3 of Section 62 of the Act. </w:t>
      </w:r>
    </w:p>
    <w:p w14:paraId="08EAE001" w14:textId="101E64C1" w:rsidR="00517BBB" w:rsidRPr="009F79C2" w:rsidRDefault="00551E83"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Sub-section 3 of Section 62 of the</w:t>
      </w:r>
      <w:r w:rsidRPr="009F79C2">
        <w:rPr>
          <w:rFonts w:ascii="Times New Roman" w:hAnsi="Times New Roman" w:cs="Times New Roman"/>
          <w:sz w:val="24"/>
          <w:szCs w:val="24"/>
        </w:rPr>
        <w:t xml:space="preserve"> Electricity Act, 2003</w:t>
      </w:r>
      <w:r>
        <w:rPr>
          <w:rFonts w:ascii="Times New Roman" w:hAnsi="Times New Roman" w:cs="Times New Roman"/>
          <w:sz w:val="24"/>
          <w:szCs w:val="24"/>
        </w:rPr>
        <w:t xml:space="preserve"> is reproduced hereinunder for kind reference:</w:t>
      </w:r>
    </w:p>
    <w:p w14:paraId="5FB234F2" w14:textId="0D428B09" w:rsidR="00517BBB" w:rsidRPr="009F79C2" w:rsidRDefault="00517BBB" w:rsidP="00551E83">
      <w:pPr>
        <w:spacing w:before="120" w:after="120" w:line="360" w:lineRule="auto"/>
        <w:ind w:left="720"/>
        <w:jc w:val="both"/>
        <w:rPr>
          <w:rFonts w:ascii="Times New Roman" w:hAnsi="Times New Roman" w:cs="Times New Roman"/>
          <w:sz w:val="24"/>
          <w:szCs w:val="24"/>
        </w:rPr>
      </w:pPr>
      <w:r w:rsidRPr="009F79C2">
        <w:rPr>
          <w:rFonts w:ascii="Times New Roman" w:hAnsi="Times New Roman" w:cs="Times New Roman"/>
          <w:sz w:val="24"/>
          <w:szCs w:val="24"/>
        </w:rPr>
        <w:t>“</w:t>
      </w:r>
      <w:r w:rsidRPr="009F79C2">
        <w:rPr>
          <w:rFonts w:ascii="Times New Roman" w:hAnsi="Times New Roman" w:cs="Times New Roman"/>
          <w:i/>
          <w:iCs/>
          <w:sz w:val="24"/>
          <w:szCs w:val="24"/>
        </w:rPr>
        <w:t>(3) The Appropriate Commission shall not, while determining the tariff under this Act, show undue preference to any consumer of electricity but may differentiate according to the consumer’s load factor, power factor, voltage, total consumption of electricity during any specified period or the time at which the supply is required or the geographical position of any area, the nature of supply and the purpose for which the supply is required.</w:t>
      </w:r>
      <w:r w:rsidRPr="009F79C2">
        <w:rPr>
          <w:rFonts w:ascii="Times New Roman" w:hAnsi="Times New Roman" w:cs="Times New Roman"/>
          <w:sz w:val="24"/>
          <w:szCs w:val="24"/>
        </w:rPr>
        <w:t>”</w:t>
      </w:r>
    </w:p>
    <w:p w14:paraId="3F1C056D" w14:textId="19FC2CCF" w:rsidR="004C2C6E" w:rsidRDefault="008C0BD3"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Apparently, </w:t>
      </w:r>
      <w:r w:rsidR="00551E83">
        <w:rPr>
          <w:rFonts w:ascii="Times New Roman" w:hAnsi="Times New Roman" w:cs="Times New Roman"/>
          <w:sz w:val="24"/>
          <w:szCs w:val="24"/>
        </w:rPr>
        <w:t xml:space="preserve">it got </w:t>
      </w:r>
      <w:r>
        <w:rPr>
          <w:rFonts w:ascii="Times New Roman" w:hAnsi="Times New Roman" w:cs="Times New Roman"/>
          <w:sz w:val="24"/>
          <w:szCs w:val="24"/>
        </w:rPr>
        <w:t>attuned</w:t>
      </w:r>
      <w:r w:rsidR="00551E83">
        <w:rPr>
          <w:rFonts w:ascii="Times New Roman" w:hAnsi="Times New Roman" w:cs="Times New Roman"/>
          <w:sz w:val="24"/>
          <w:szCs w:val="24"/>
        </w:rPr>
        <w:t xml:space="preserve"> in the ecosystem that the </w:t>
      </w:r>
      <w:r w:rsidR="00551E83" w:rsidRPr="00551E83">
        <w:rPr>
          <w:rFonts w:ascii="Times New Roman" w:hAnsi="Times New Roman" w:cs="Times New Roman"/>
          <w:sz w:val="24"/>
          <w:szCs w:val="24"/>
        </w:rPr>
        <w:t>Sub-section 3 of Section 62 of the Electricity Act, 2003</w:t>
      </w:r>
      <w:r>
        <w:rPr>
          <w:rFonts w:ascii="Times New Roman" w:hAnsi="Times New Roman" w:cs="Times New Roman"/>
          <w:sz w:val="24"/>
          <w:szCs w:val="24"/>
        </w:rPr>
        <w:t xml:space="preserve"> is applicable for retail tariff</w:t>
      </w:r>
      <w:r w:rsidR="004C2C6E">
        <w:rPr>
          <w:rFonts w:ascii="Times New Roman" w:hAnsi="Times New Roman" w:cs="Times New Roman"/>
          <w:sz w:val="24"/>
          <w:szCs w:val="24"/>
        </w:rPr>
        <w:t xml:space="preserve"> determined by Hon’ble State Commissions (SERC)</w:t>
      </w:r>
      <w:r>
        <w:rPr>
          <w:rFonts w:ascii="Times New Roman" w:hAnsi="Times New Roman" w:cs="Times New Roman"/>
          <w:sz w:val="24"/>
          <w:szCs w:val="24"/>
        </w:rPr>
        <w:t xml:space="preserve"> only. However, </w:t>
      </w:r>
      <w:r w:rsidR="004C2C6E">
        <w:rPr>
          <w:rFonts w:ascii="Times New Roman" w:hAnsi="Times New Roman" w:cs="Times New Roman"/>
          <w:sz w:val="24"/>
          <w:szCs w:val="24"/>
        </w:rPr>
        <w:t xml:space="preserve">simple interpretation of the provision doesn’t make it inapplicable for Hon’ble Central Commission. </w:t>
      </w:r>
      <w:r w:rsidR="004C2C6E" w:rsidRPr="00976B1B">
        <w:rPr>
          <w:rFonts w:ascii="Times New Roman" w:hAnsi="Times New Roman" w:cs="Times New Roman"/>
          <w:b/>
          <w:bCs/>
          <w:sz w:val="24"/>
          <w:szCs w:val="24"/>
          <w:u w:val="single"/>
        </w:rPr>
        <w:t>Rather, this is fully applicable for all tariff determined by Hon’ble Central Commission</w:t>
      </w:r>
      <w:r w:rsidR="004C2C6E">
        <w:rPr>
          <w:rFonts w:ascii="Times New Roman" w:hAnsi="Times New Roman" w:cs="Times New Roman"/>
          <w:sz w:val="24"/>
          <w:szCs w:val="24"/>
        </w:rPr>
        <w:t>.</w:t>
      </w:r>
    </w:p>
    <w:p w14:paraId="00152EB6" w14:textId="77777777" w:rsidR="00244F3E" w:rsidRDefault="004C2C6E"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It is very clear that Sub-section 3 of Section 62 of the</w:t>
      </w:r>
      <w:r w:rsidRPr="009F79C2">
        <w:rPr>
          <w:rFonts w:ascii="Times New Roman" w:hAnsi="Times New Roman" w:cs="Times New Roman"/>
          <w:sz w:val="24"/>
          <w:szCs w:val="24"/>
        </w:rPr>
        <w:t xml:space="preserve"> Electricity Act, 2003</w:t>
      </w:r>
      <w:r>
        <w:rPr>
          <w:rFonts w:ascii="Times New Roman" w:hAnsi="Times New Roman" w:cs="Times New Roman"/>
          <w:sz w:val="24"/>
          <w:szCs w:val="24"/>
        </w:rPr>
        <w:t xml:space="preserve"> </w:t>
      </w:r>
      <w:r w:rsidR="00976B1B">
        <w:rPr>
          <w:rFonts w:ascii="Times New Roman" w:hAnsi="Times New Roman" w:cs="Times New Roman"/>
          <w:sz w:val="24"/>
          <w:szCs w:val="24"/>
        </w:rPr>
        <w:t>provides for</w:t>
      </w:r>
      <w:r>
        <w:rPr>
          <w:rFonts w:ascii="Times New Roman" w:hAnsi="Times New Roman" w:cs="Times New Roman"/>
          <w:sz w:val="24"/>
          <w:szCs w:val="24"/>
        </w:rPr>
        <w:t xml:space="preserve"> the cross-subsidy </w:t>
      </w:r>
      <w:r w:rsidR="00066E2A">
        <w:rPr>
          <w:rFonts w:ascii="Times New Roman" w:hAnsi="Times New Roman" w:cs="Times New Roman"/>
          <w:sz w:val="24"/>
          <w:szCs w:val="24"/>
        </w:rPr>
        <w:t xml:space="preserve">aspect </w:t>
      </w:r>
      <w:r>
        <w:rPr>
          <w:rFonts w:ascii="Times New Roman" w:hAnsi="Times New Roman" w:cs="Times New Roman"/>
          <w:sz w:val="24"/>
          <w:szCs w:val="24"/>
        </w:rPr>
        <w:t xml:space="preserve">amongst </w:t>
      </w:r>
      <w:r w:rsidR="00976B1B">
        <w:rPr>
          <w:rFonts w:ascii="Times New Roman" w:hAnsi="Times New Roman" w:cs="Times New Roman"/>
          <w:sz w:val="24"/>
          <w:szCs w:val="24"/>
        </w:rPr>
        <w:t xml:space="preserve">different class/category of consumers. Concerned SERCs determine Aggregate Revenue Requirement (ARR) for a distribution licensee and </w:t>
      </w:r>
      <w:r w:rsidR="00066E2A">
        <w:rPr>
          <w:rFonts w:ascii="Times New Roman" w:hAnsi="Times New Roman" w:cs="Times New Roman"/>
          <w:sz w:val="24"/>
          <w:szCs w:val="24"/>
        </w:rPr>
        <w:t xml:space="preserve">then approve recovery of the same </w:t>
      </w:r>
      <w:r w:rsidR="00244F3E">
        <w:rPr>
          <w:rFonts w:ascii="Times New Roman" w:hAnsi="Times New Roman" w:cs="Times New Roman"/>
          <w:sz w:val="24"/>
          <w:szCs w:val="24"/>
        </w:rPr>
        <w:t xml:space="preserve">amongst </w:t>
      </w:r>
      <w:r w:rsidR="00066E2A" w:rsidRPr="00066E2A">
        <w:rPr>
          <w:rFonts w:ascii="Times New Roman" w:hAnsi="Times New Roman" w:cs="Times New Roman"/>
          <w:sz w:val="24"/>
          <w:szCs w:val="24"/>
        </w:rPr>
        <w:t>different class/category of consumers</w:t>
      </w:r>
      <w:r w:rsidR="00066E2A">
        <w:rPr>
          <w:rFonts w:ascii="Times New Roman" w:hAnsi="Times New Roman" w:cs="Times New Roman"/>
          <w:sz w:val="24"/>
          <w:szCs w:val="24"/>
        </w:rPr>
        <w:t xml:space="preserve"> </w:t>
      </w:r>
      <w:r w:rsidR="00244F3E">
        <w:rPr>
          <w:rFonts w:ascii="Times New Roman" w:hAnsi="Times New Roman" w:cs="Times New Roman"/>
          <w:sz w:val="24"/>
          <w:szCs w:val="24"/>
        </w:rPr>
        <w:t xml:space="preserve">at </w:t>
      </w:r>
      <w:r w:rsidR="00244F3E">
        <w:rPr>
          <w:rFonts w:ascii="Times New Roman" w:hAnsi="Times New Roman" w:cs="Times New Roman"/>
          <w:sz w:val="24"/>
          <w:szCs w:val="24"/>
        </w:rPr>
        <w:t xml:space="preserve">different </w:t>
      </w:r>
      <w:r w:rsidR="00244F3E">
        <w:rPr>
          <w:rFonts w:ascii="Times New Roman" w:hAnsi="Times New Roman" w:cs="Times New Roman"/>
          <w:sz w:val="24"/>
          <w:szCs w:val="24"/>
        </w:rPr>
        <w:t>rates factorizing the cross-subsidy to keep the tariff at a bearable limit for specific class of consumers. The matter is illustrated very simply with a simple example below:</w:t>
      </w:r>
    </w:p>
    <w:p w14:paraId="6073B2C9" w14:textId="01723D25" w:rsidR="00244F3E" w:rsidRDefault="00244F3E"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With approved ARR of 100 to be recovered from sale of 50 units (to be consumed by different class of consumers), average recovery rate (simply retail tariff rate) shall be 2 per unit:</w:t>
      </w:r>
    </w:p>
    <w:tbl>
      <w:tblPr>
        <w:tblW w:w="4760" w:type="dxa"/>
        <w:jc w:val="center"/>
        <w:tblLook w:val="04A0" w:firstRow="1" w:lastRow="0" w:firstColumn="1" w:lastColumn="0" w:noHBand="0" w:noVBand="1"/>
      </w:tblPr>
      <w:tblGrid>
        <w:gridCol w:w="3800"/>
        <w:gridCol w:w="960"/>
      </w:tblGrid>
      <w:tr w:rsidR="00244F3E" w:rsidRPr="00244F3E" w14:paraId="62519669" w14:textId="77777777" w:rsidTr="00244F3E">
        <w:trPr>
          <w:trHeight w:val="276"/>
          <w:jc w:val="center"/>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837B" w14:textId="77777777" w:rsidR="00244F3E" w:rsidRPr="00244F3E" w:rsidRDefault="00244F3E" w:rsidP="00244F3E">
            <w:pPr>
              <w:spacing w:after="0" w:line="360" w:lineRule="auto"/>
              <w:ind w:firstLineChars="100" w:firstLine="240"/>
              <w:rPr>
                <w:rFonts w:ascii="Times New Roman" w:eastAsia="Times New Roman" w:hAnsi="Times New Roman" w:cs="Times New Roman"/>
                <w:color w:val="000000"/>
                <w:kern w:val="0"/>
                <w:sz w:val="24"/>
                <w:szCs w:val="24"/>
                <w:lang w:eastAsia="en-IN" w:bidi="hi-IN"/>
                <w14:ligatures w14:val="none"/>
              </w:rPr>
            </w:pPr>
            <w:r w:rsidRPr="00244F3E">
              <w:rPr>
                <w:rFonts w:ascii="Times New Roman" w:eastAsia="Times New Roman" w:hAnsi="Times New Roman" w:cs="Times New Roman"/>
                <w:color w:val="000000"/>
                <w:kern w:val="0"/>
                <w:sz w:val="24"/>
                <w:szCs w:val="24"/>
                <w:lang w:eastAsia="en-IN" w:bidi="hi-IN"/>
                <w14:ligatures w14:val="none"/>
              </w:rPr>
              <w:t>a. ARR Amount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08D7F5" w14:textId="77777777" w:rsidR="00244F3E" w:rsidRPr="00244F3E" w:rsidRDefault="00244F3E" w:rsidP="00244F3E">
            <w:pPr>
              <w:spacing w:after="0" w:line="360" w:lineRule="auto"/>
              <w:jc w:val="right"/>
              <w:rPr>
                <w:rFonts w:ascii="Times New Roman" w:eastAsia="Times New Roman" w:hAnsi="Times New Roman" w:cs="Times New Roman"/>
                <w:color w:val="000000"/>
                <w:kern w:val="0"/>
                <w:sz w:val="24"/>
                <w:szCs w:val="24"/>
                <w:lang w:eastAsia="en-IN" w:bidi="hi-IN"/>
                <w14:ligatures w14:val="none"/>
              </w:rPr>
            </w:pPr>
            <w:r w:rsidRPr="00244F3E">
              <w:rPr>
                <w:rFonts w:ascii="Times New Roman" w:eastAsia="Times New Roman" w:hAnsi="Times New Roman" w:cs="Times New Roman"/>
                <w:color w:val="000000"/>
                <w:kern w:val="0"/>
                <w:sz w:val="24"/>
                <w:szCs w:val="24"/>
                <w:lang w:eastAsia="en-IN" w:bidi="hi-IN"/>
                <w14:ligatures w14:val="none"/>
              </w:rPr>
              <w:t>100</w:t>
            </w:r>
          </w:p>
        </w:tc>
      </w:tr>
      <w:tr w:rsidR="00244F3E" w:rsidRPr="00244F3E" w14:paraId="23CCBCE8" w14:textId="77777777" w:rsidTr="00244F3E">
        <w:trPr>
          <w:trHeight w:val="276"/>
          <w:jc w:val="center"/>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43420" w14:textId="77777777" w:rsidR="00244F3E" w:rsidRPr="00244F3E" w:rsidRDefault="00244F3E" w:rsidP="00244F3E">
            <w:pPr>
              <w:spacing w:after="0" w:line="360" w:lineRule="auto"/>
              <w:ind w:firstLineChars="100" w:firstLine="240"/>
              <w:rPr>
                <w:rFonts w:ascii="Times New Roman" w:eastAsia="Times New Roman" w:hAnsi="Times New Roman" w:cs="Times New Roman"/>
                <w:color w:val="000000"/>
                <w:kern w:val="0"/>
                <w:sz w:val="24"/>
                <w:szCs w:val="24"/>
                <w:lang w:eastAsia="en-IN" w:bidi="hi-IN"/>
                <w14:ligatures w14:val="none"/>
              </w:rPr>
            </w:pPr>
            <w:r w:rsidRPr="00244F3E">
              <w:rPr>
                <w:rFonts w:ascii="Times New Roman" w:eastAsia="Times New Roman" w:hAnsi="Times New Roman" w:cs="Times New Roman"/>
                <w:color w:val="000000"/>
                <w:kern w:val="0"/>
                <w:sz w:val="24"/>
                <w:szCs w:val="24"/>
                <w:lang w:eastAsia="en-IN" w:bidi="hi-IN"/>
                <w14:ligatures w14:val="none"/>
              </w:rPr>
              <w:t>b. Proposed Sale Units</w:t>
            </w:r>
          </w:p>
        </w:tc>
        <w:tc>
          <w:tcPr>
            <w:tcW w:w="960" w:type="dxa"/>
            <w:tcBorders>
              <w:top w:val="nil"/>
              <w:left w:val="nil"/>
              <w:bottom w:val="single" w:sz="4" w:space="0" w:color="auto"/>
              <w:right w:val="single" w:sz="4" w:space="0" w:color="auto"/>
            </w:tcBorders>
            <w:shd w:val="clear" w:color="auto" w:fill="auto"/>
            <w:noWrap/>
            <w:vAlign w:val="bottom"/>
            <w:hideMark/>
          </w:tcPr>
          <w:p w14:paraId="0F50A4BE" w14:textId="77777777" w:rsidR="00244F3E" w:rsidRPr="00244F3E" w:rsidRDefault="00244F3E" w:rsidP="00244F3E">
            <w:pPr>
              <w:spacing w:after="0" w:line="360" w:lineRule="auto"/>
              <w:jc w:val="right"/>
              <w:rPr>
                <w:rFonts w:ascii="Times New Roman" w:eastAsia="Times New Roman" w:hAnsi="Times New Roman" w:cs="Times New Roman"/>
                <w:color w:val="000000"/>
                <w:kern w:val="0"/>
                <w:sz w:val="24"/>
                <w:szCs w:val="24"/>
                <w:lang w:eastAsia="en-IN" w:bidi="hi-IN"/>
                <w14:ligatures w14:val="none"/>
              </w:rPr>
            </w:pPr>
            <w:r w:rsidRPr="00244F3E">
              <w:rPr>
                <w:rFonts w:ascii="Times New Roman" w:eastAsia="Times New Roman" w:hAnsi="Times New Roman" w:cs="Times New Roman"/>
                <w:color w:val="000000"/>
                <w:kern w:val="0"/>
                <w:sz w:val="24"/>
                <w:szCs w:val="24"/>
                <w:lang w:eastAsia="en-IN" w:bidi="hi-IN"/>
                <w14:ligatures w14:val="none"/>
              </w:rPr>
              <w:t>50</w:t>
            </w:r>
          </w:p>
        </w:tc>
      </w:tr>
      <w:tr w:rsidR="00244F3E" w:rsidRPr="00244F3E" w14:paraId="0AC1F45F" w14:textId="77777777" w:rsidTr="00244F3E">
        <w:trPr>
          <w:trHeight w:val="276"/>
          <w:jc w:val="center"/>
        </w:trPr>
        <w:tc>
          <w:tcPr>
            <w:tcW w:w="3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7C662" w14:textId="77777777" w:rsidR="00244F3E" w:rsidRPr="00244F3E" w:rsidRDefault="00244F3E" w:rsidP="00244F3E">
            <w:pPr>
              <w:spacing w:after="0" w:line="360" w:lineRule="auto"/>
              <w:ind w:firstLineChars="100" w:firstLine="240"/>
              <w:rPr>
                <w:rFonts w:ascii="Times New Roman" w:eastAsia="Times New Roman" w:hAnsi="Times New Roman" w:cs="Times New Roman"/>
                <w:color w:val="000000"/>
                <w:kern w:val="0"/>
                <w:sz w:val="24"/>
                <w:szCs w:val="24"/>
                <w:lang w:eastAsia="en-IN" w:bidi="hi-IN"/>
                <w14:ligatures w14:val="none"/>
              </w:rPr>
            </w:pPr>
            <w:r w:rsidRPr="00244F3E">
              <w:rPr>
                <w:rFonts w:ascii="Times New Roman" w:eastAsia="Times New Roman" w:hAnsi="Times New Roman" w:cs="Times New Roman"/>
                <w:color w:val="000000"/>
                <w:kern w:val="0"/>
                <w:sz w:val="24"/>
                <w:szCs w:val="24"/>
                <w:lang w:eastAsia="en-IN" w:bidi="hi-IN"/>
                <w14:ligatures w14:val="none"/>
              </w:rPr>
              <w:t>c. Avg. Rate [</w:t>
            </w:r>
            <w:proofErr w:type="spellStart"/>
            <w:r w:rsidRPr="00244F3E">
              <w:rPr>
                <w:rFonts w:ascii="Times New Roman" w:eastAsia="Times New Roman" w:hAnsi="Times New Roman" w:cs="Times New Roman"/>
                <w:color w:val="000000"/>
                <w:kern w:val="0"/>
                <w:sz w:val="24"/>
                <w:szCs w:val="24"/>
                <w:lang w:eastAsia="en-IN" w:bidi="hi-IN"/>
                <w14:ligatures w14:val="none"/>
              </w:rPr>
              <w:t>a÷b</w:t>
            </w:r>
            <w:proofErr w:type="spellEnd"/>
            <w:r w:rsidRPr="00244F3E">
              <w:rPr>
                <w:rFonts w:ascii="Times New Roman" w:eastAsia="Times New Roman" w:hAnsi="Times New Roman" w:cs="Times New Roman"/>
                <w:color w:val="000000"/>
                <w:kern w:val="0"/>
                <w:sz w:val="24"/>
                <w:szCs w:val="24"/>
                <w:lang w:eastAsia="en-IN" w:bidi="hi-IN"/>
                <w14:ligatures w14:val="none"/>
              </w:rPr>
              <w:t>]</w:t>
            </w:r>
          </w:p>
        </w:tc>
        <w:tc>
          <w:tcPr>
            <w:tcW w:w="960" w:type="dxa"/>
            <w:tcBorders>
              <w:top w:val="nil"/>
              <w:left w:val="nil"/>
              <w:bottom w:val="single" w:sz="4" w:space="0" w:color="auto"/>
              <w:right w:val="single" w:sz="4" w:space="0" w:color="auto"/>
            </w:tcBorders>
            <w:shd w:val="clear" w:color="auto" w:fill="auto"/>
            <w:noWrap/>
            <w:vAlign w:val="bottom"/>
            <w:hideMark/>
          </w:tcPr>
          <w:p w14:paraId="0E0256A0" w14:textId="77777777" w:rsidR="00244F3E" w:rsidRPr="00244F3E" w:rsidRDefault="00244F3E" w:rsidP="00244F3E">
            <w:pPr>
              <w:spacing w:after="0" w:line="360" w:lineRule="auto"/>
              <w:jc w:val="right"/>
              <w:rPr>
                <w:rFonts w:ascii="Times New Roman" w:eastAsia="Times New Roman" w:hAnsi="Times New Roman" w:cs="Times New Roman"/>
                <w:color w:val="000000"/>
                <w:kern w:val="0"/>
                <w:sz w:val="24"/>
                <w:szCs w:val="24"/>
                <w:lang w:eastAsia="en-IN" w:bidi="hi-IN"/>
                <w14:ligatures w14:val="none"/>
              </w:rPr>
            </w:pPr>
            <w:r w:rsidRPr="00244F3E">
              <w:rPr>
                <w:rFonts w:ascii="Times New Roman" w:eastAsia="Times New Roman" w:hAnsi="Times New Roman" w:cs="Times New Roman"/>
                <w:color w:val="000000"/>
                <w:kern w:val="0"/>
                <w:sz w:val="24"/>
                <w:szCs w:val="24"/>
                <w:lang w:eastAsia="en-IN" w:bidi="hi-IN"/>
                <w14:ligatures w14:val="none"/>
              </w:rPr>
              <w:t>2</w:t>
            </w:r>
          </w:p>
        </w:tc>
      </w:tr>
    </w:tbl>
    <w:p w14:paraId="5A9D153B" w14:textId="6BB8F4B4" w:rsidR="00393727" w:rsidRDefault="00244F3E"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However, due to various factors </w:t>
      </w:r>
      <w:proofErr w:type="spellStart"/>
      <w:r w:rsidRPr="00244F3E">
        <w:rPr>
          <w:rFonts w:ascii="Times New Roman" w:hAnsi="Times New Roman" w:cs="Times New Roman"/>
          <w:i/>
          <w:iCs/>
          <w:sz w:val="24"/>
          <w:szCs w:val="24"/>
        </w:rPr>
        <w:t>interalia</w:t>
      </w:r>
      <w:proofErr w:type="spellEnd"/>
      <w:r>
        <w:rPr>
          <w:rFonts w:ascii="Times New Roman" w:hAnsi="Times New Roman" w:cs="Times New Roman"/>
          <w:sz w:val="24"/>
          <w:szCs w:val="24"/>
        </w:rPr>
        <w:t xml:space="preserve"> as mentioned in Section 62(3) of the Act, retail tariff is designed </w:t>
      </w:r>
      <w:r w:rsidR="00393727">
        <w:rPr>
          <w:rFonts w:ascii="Times New Roman" w:hAnsi="Times New Roman" w:cs="Times New Roman"/>
          <w:sz w:val="24"/>
          <w:szCs w:val="24"/>
        </w:rPr>
        <w:t>at differential rates for different category of consumers instead of same rate keeping the recovery amount same. A typical arrangement in the instant case may be as under:</w:t>
      </w:r>
    </w:p>
    <w:tbl>
      <w:tblPr>
        <w:tblW w:w="8420" w:type="dxa"/>
        <w:jc w:val="center"/>
        <w:tblLook w:val="04A0" w:firstRow="1" w:lastRow="0" w:firstColumn="1" w:lastColumn="0" w:noHBand="0" w:noVBand="1"/>
      </w:tblPr>
      <w:tblGrid>
        <w:gridCol w:w="1872"/>
        <w:gridCol w:w="2283"/>
        <w:gridCol w:w="2229"/>
        <w:gridCol w:w="2036"/>
      </w:tblGrid>
      <w:tr w:rsidR="00393727" w:rsidRPr="00393727" w14:paraId="5B6081D5" w14:textId="77777777" w:rsidTr="00393727">
        <w:trPr>
          <w:trHeight w:val="363"/>
          <w:jc w:val="center"/>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3DC6A"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Category</w:t>
            </w:r>
          </w:p>
        </w:tc>
        <w:tc>
          <w:tcPr>
            <w:tcW w:w="2283" w:type="dxa"/>
            <w:tcBorders>
              <w:top w:val="single" w:sz="4" w:space="0" w:color="auto"/>
              <w:left w:val="nil"/>
              <w:bottom w:val="single" w:sz="4" w:space="0" w:color="auto"/>
              <w:right w:val="single" w:sz="4" w:space="0" w:color="auto"/>
            </w:tcBorders>
            <w:shd w:val="clear" w:color="auto" w:fill="auto"/>
            <w:vAlign w:val="center"/>
            <w:hideMark/>
          </w:tcPr>
          <w:p w14:paraId="2B7B74CC"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Proposed Sale Units</w:t>
            </w:r>
          </w:p>
        </w:tc>
        <w:tc>
          <w:tcPr>
            <w:tcW w:w="2229" w:type="dxa"/>
            <w:tcBorders>
              <w:top w:val="single" w:sz="4" w:space="0" w:color="auto"/>
              <w:left w:val="nil"/>
              <w:bottom w:val="single" w:sz="4" w:space="0" w:color="auto"/>
              <w:right w:val="single" w:sz="4" w:space="0" w:color="auto"/>
            </w:tcBorders>
            <w:shd w:val="clear" w:color="auto" w:fill="auto"/>
            <w:vAlign w:val="center"/>
            <w:hideMark/>
          </w:tcPr>
          <w:p w14:paraId="3A3C88FB"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Avg. Tariff per unit</w:t>
            </w:r>
          </w:p>
        </w:tc>
        <w:tc>
          <w:tcPr>
            <w:tcW w:w="2036" w:type="dxa"/>
            <w:tcBorders>
              <w:top w:val="single" w:sz="4" w:space="0" w:color="auto"/>
              <w:left w:val="nil"/>
              <w:bottom w:val="single" w:sz="4" w:space="0" w:color="auto"/>
              <w:right w:val="single" w:sz="4" w:space="0" w:color="auto"/>
            </w:tcBorders>
            <w:shd w:val="clear" w:color="auto" w:fill="auto"/>
            <w:vAlign w:val="center"/>
            <w:hideMark/>
          </w:tcPr>
          <w:p w14:paraId="3F5FDAFA"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Recovery amount</w:t>
            </w:r>
          </w:p>
        </w:tc>
      </w:tr>
      <w:tr w:rsidR="00393727" w:rsidRPr="00393727" w14:paraId="7122277D" w14:textId="77777777" w:rsidTr="00393727">
        <w:trPr>
          <w:trHeight w:val="276"/>
          <w:jc w:val="center"/>
        </w:trPr>
        <w:tc>
          <w:tcPr>
            <w:tcW w:w="1872" w:type="dxa"/>
            <w:tcBorders>
              <w:top w:val="nil"/>
              <w:left w:val="single" w:sz="4" w:space="0" w:color="auto"/>
              <w:bottom w:val="single" w:sz="4" w:space="0" w:color="auto"/>
              <w:right w:val="single" w:sz="4" w:space="0" w:color="auto"/>
            </w:tcBorders>
            <w:shd w:val="clear" w:color="auto" w:fill="auto"/>
            <w:noWrap/>
            <w:vAlign w:val="bottom"/>
            <w:hideMark/>
          </w:tcPr>
          <w:p w14:paraId="2061C07E"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Category-1</w:t>
            </w:r>
          </w:p>
        </w:tc>
        <w:tc>
          <w:tcPr>
            <w:tcW w:w="2283" w:type="dxa"/>
            <w:tcBorders>
              <w:top w:val="nil"/>
              <w:left w:val="nil"/>
              <w:bottom w:val="single" w:sz="4" w:space="0" w:color="auto"/>
              <w:right w:val="single" w:sz="4" w:space="0" w:color="auto"/>
            </w:tcBorders>
            <w:shd w:val="clear" w:color="auto" w:fill="auto"/>
            <w:noWrap/>
            <w:vAlign w:val="bottom"/>
            <w:hideMark/>
          </w:tcPr>
          <w:p w14:paraId="61225BC4"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10</w:t>
            </w:r>
          </w:p>
        </w:tc>
        <w:tc>
          <w:tcPr>
            <w:tcW w:w="2229" w:type="dxa"/>
            <w:tcBorders>
              <w:top w:val="nil"/>
              <w:left w:val="nil"/>
              <w:bottom w:val="single" w:sz="4" w:space="0" w:color="auto"/>
              <w:right w:val="single" w:sz="4" w:space="0" w:color="auto"/>
            </w:tcBorders>
            <w:shd w:val="clear" w:color="auto" w:fill="auto"/>
            <w:noWrap/>
            <w:vAlign w:val="bottom"/>
            <w:hideMark/>
          </w:tcPr>
          <w:p w14:paraId="7E275EAB"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1.00</w:t>
            </w:r>
          </w:p>
        </w:tc>
        <w:tc>
          <w:tcPr>
            <w:tcW w:w="2036" w:type="dxa"/>
            <w:tcBorders>
              <w:top w:val="nil"/>
              <w:left w:val="nil"/>
              <w:bottom w:val="single" w:sz="4" w:space="0" w:color="auto"/>
              <w:right w:val="single" w:sz="4" w:space="0" w:color="auto"/>
            </w:tcBorders>
            <w:shd w:val="clear" w:color="auto" w:fill="auto"/>
            <w:noWrap/>
            <w:vAlign w:val="bottom"/>
            <w:hideMark/>
          </w:tcPr>
          <w:p w14:paraId="4767B89D"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10</w:t>
            </w:r>
          </w:p>
        </w:tc>
      </w:tr>
      <w:tr w:rsidR="00393727" w:rsidRPr="00393727" w14:paraId="2DFB1A7E" w14:textId="77777777" w:rsidTr="00393727">
        <w:trPr>
          <w:trHeight w:val="276"/>
          <w:jc w:val="center"/>
        </w:trPr>
        <w:tc>
          <w:tcPr>
            <w:tcW w:w="1872" w:type="dxa"/>
            <w:tcBorders>
              <w:top w:val="nil"/>
              <w:left w:val="single" w:sz="4" w:space="0" w:color="auto"/>
              <w:bottom w:val="single" w:sz="4" w:space="0" w:color="auto"/>
              <w:right w:val="single" w:sz="4" w:space="0" w:color="auto"/>
            </w:tcBorders>
            <w:shd w:val="clear" w:color="auto" w:fill="auto"/>
            <w:noWrap/>
            <w:vAlign w:val="bottom"/>
            <w:hideMark/>
          </w:tcPr>
          <w:p w14:paraId="4651D90D"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Category-2</w:t>
            </w:r>
          </w:p>
        </w:tc>
        <w:tc>
          <w:tcPr>
            <w:tcW w:w="2283" w:type="dxa"/>
            <w:tcBorders>
              <w:top w:val="nil"/>
              <w:left w:val="nil"/>
              <w:bottom w:val="single" w:sz="4" w:space="0" w:color="auto"/>
              <w:right w:val="single" w:sz="4" w:space="0" w:color="auto"/>
            </w:tcBorders>
            <w:shd w:val="clear" w:color="auto" w:fill="auto"/>
            <w:noWrap/>
            <w:vAlign w:val="bottom"/>
            <w:hideMark/>
          </w:tcPr>
          <w:p w14:paraId="4D009E44"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10</w:t>
            </w:r>
          </w:p>
        </w:tc>
        <w:tc>
          <w:tcPr>
            <w:tcW w:w="2229" w:type="dxa"/>
            <w:tcBorders>
              <w:top w:val="nil"/>
              <w:left w:val="nil"/>
              <w:bottom w:val="single" w:sz="4" w:space="0" w:color="auto"/>
              <w:right w:val="single" w:sz="4" w:space="0" w:color="auto"/>
            </w:tcBorders>
            <w:shd w:val="clear" w:color="auto" w:fill="auto"/>
            <w:noWrap/>
            <w:vAlign w:val="bottom"/>
            <w:hideMark/>
          </w:tcPr>
          <w:p w14:paraId="2BC468AD"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1.50</w:t>
            </w:r>
          </w:p>
        </w:tc>
        <w:tc>
          <w:tcPr>
            <w:tcW w:w="2036" w:type="dxa"/>
            <w:tcBorders>
              <w:top w:val="nil"/>
              <w:left w:val="nil"/>
              <w:bottom w:val="single" w:sz="4" w:space="0" w:color="auto"/>
              <w:right w:val="single" w:sz="4" w:space="0" w:color="auto"/>
            </w:tcBorders>
            <w:shd w:val="clear" w:color="auto" w:fill="auto"/>
            <w:noWrap/>
            <w:vAlign w:val="bottom"/>
            <w:hideMark/>
          </w:tcPr>
          <w:p w14:paraId="28F083C0"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15</w:t>
            </w:r>
          </w:p>
        </w:tc>
      </w:tr>
      <w:tr w:rsidR="00393727" w:rsidRPr="00393727" w14:paraId="4EDA60E2" w14:textId="77777777" w:rsidTr="00393727">
        <w:trPr>
          <w:trHeight w:val="276"/>
          <w:jc w:val="center"/>
        </w:trPr>
        <w:tc>
          <w:tcPr>
            <w:tcW w:w="1872" w:type="dxa"/>
            <w:tcBorders>
              <w:top w:val="nil"/>
              <w:left w:val="single" w:sz="4" w:space="0" w:color="auto"/>
              <w:bottom w:val="single" w:sz="4" w:space="0" w:color="auto"/>
              <w:right w:val="single" w:sz="4" w:space="0" w:color="auto"/>
            </w:tcBorders>
            <w:shd w:val="clear" w:color="auto" w:fill="auto"/>
            <w:noWrap/>
            <w:vAlign w:val="bottom"/>
            <w:hideMark/>
          </w:tcPr>
          <w:p w14:paraId="15342107"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Category-3</w:t>
            </w:r>
          </w:p>
        </w:tc>
        <w:tc>
          <w:tcPr>
            <w:tcW w:w="2283" w:type="dxa"/>
            <w:tcBorders>
              <w:top w:val="nil"/>
              <w:left w:val="nil"/>
              <w:bottom w:val="single" w:sz="4" w:space="0" w:color="auto"/>
              <w:right w:val="single" w:sz="4" w:space="0" w:color="auto"/>
            </w:tcBorders>
            <w:shd w:val="clear" w:color="auto" w:fill="auto"/>
            <w:noWrap/>
            <w:vAlign w:val="bottom"/>
            <w:hideMark/>
          </w:tcPr>
          <w:p w14:paraId="0BE3C770"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10</w:t>
            </w:r>
          </w:p>
        </w:tc>
        <w:tc>
          <w:tcPr>
            <w:tcW w:w="2229" w:type="dxa"/>
            <w:tcBorders>
              <w:top w:val="nil"/>
              <w:left w:val="nil"/>
              <w:bottom w:val="single" w:sz="4" w:space="0" w:color="auto"/>
              <w:right w:val="single" w:sz="4" w:space="0" w:color="auto"/>
            </w:tcBorders>
            <w:shd w:val="clear" w:color="auto" w:fill="auto"/>
            <w:noWrap/>
            <w:vAlign w:val="bottom"/>
            <w:hideMark/>
          </w:tcPr>
          <w:p w14:paraId="3C66C883"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2.00</w:t>
            </w:r>
          </w:p>
        </w:tc>
        <w:tc>
          <w:tcPr>
            <w:tcW w:w="2036" w:type="dxa"/>
            <w:tcBorders>
              <w:top w:val="nil"/>
              <w:left w:val="nil"/>
              <w:bottom w:val="single" w:sz="4" w:space="0" w:color="auto"/>
              <w:right w:val="single" w:sz="4" w:space="0" w:color="auto"/>
            </w:tcBorders>
            <w:shd w:val="clear" w:color="auto" w:fill="auto"/>
            <w:noWrap/>
            <w:vAlign w:val="bottom"/>
            <w:hideMark/>
          </w:tcPr>
          <w:p w14:paraId="4E27259A"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20</w:t>
            </w:r>
          </w:p>
        </w:tc>
      </w:tr>
      <w:tr w:rsidR="00393727" w:rsidRPr="00393727" w14:paraId="1BEEA278" w14:textId="77777777" w:rsidTr="00393727">
        <w:trPr>
          <w:trHeight w:val="276"/>
          <w:jc w:val="center"/>
        </w:trPr>
        <w:tc>
          <w:tcPr>
            <w:tcW w:w="1872" w:type="dxa"/>
            <w:tcBorders>
              <w:top w:val="nil"/>
              <w:left w:val="single" w:sz="4" w:space="0" w:color="auto"/>
              <w:bottom w:val="single" w:sz="4" w:space="0" w:color="auto"/>
              <w:right w:val="single" w:sz="4" w:space="0" w:color="auto"/>
            </w:tcBorders>
            <w:shd w:val="clear" w:color="auto" w:fill="auto"/>
            <w:noWrap/>
            <w:vAlign w:val="bottom"/>
            <w:hideMark/>
          </w:tcPr>
          <w:p w14:paraId="2AC39312"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Category-4</w:t>
            </w:r>
          </w:p>
        </w:tc>
        <w:tc>
          <w:tcPr>
            <w:tcW w:w="2283" w:type="dxa"/>
            <w:tcBorders>
              <w:top w:val="nil"/>
              <w:left w:val="nil"/>
              <w:bottom w:val="single" w:sz="4" w:space="0" w:color="auto"/>
              <w:right w:val="single" w:sz="4" w:space="0" w:color="auto"/>
            </w:tcBorders>
            <w:shd w:val="clear" w:color="auto" w:fill="auto"/>
            <w:noWrap/>
            <w:vAlign w:val="bottom"/>
            <w:hideMark/>
          </w:tcPr>
          <w:p w14:paraId="2BEDF2A1"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10</w:t>
            </w:r>
          </w:p>
        </w:tc>
        <w:tc>
          <w:tcPr>
            <w:tcW w:w="2229" w:type="dxa"/>
            <w:tcBorders>
              <w:top w:val="nil"/>
              <w:left w:val="nil"/>
              <w:bottom w:val="single" w:sz="4" w:space="0" w:color="auto"/>
              <w:right w:val="single" w:sz="4" w:space="0" w:color="auto"/>
            </w:tcBorders>
            <w:shd w:val="clear" w:color="auto" w:fill="auto"/>
            <w:noWrap/>
            <w:vAlign w:val="bottom"/>
            <w:hideMark/>
          </w:tcPr>
          <w:p w14:paraId="6281E334"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2.50</w:t>
            </w:r>
          </w:p>
        </w:tc>
        <w:tc>
          <w:tcPr>
            <w:tcW w:w="2036" w:type="dxa"/>
            <w:tcBorders>
              <w:top w:val="nil"/>
              <w:left w:val="nil"/>
              <w:bottom w:val="single" w:sz="4" w:space="0" w:color="auto"/>
              <w:right w:val="single" w:sz="4" w:space="0" w:color="auto"/>
            </w:tcBorders>
            <w:shd w:val="clear" w:color="auto" w:fill="auto"/>
            <w:noWrap/>
            <w:vAlign w:val="bottom"/>
            <w:hideMark/>
          </w:tcPr>
          <w:p w14:paraId="2BF61E21"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25</w:t>
            </w:r>
          </w:p>
        </w:tc>
      </w:tr>
      <w:tr w:rsidR="00393727" w:rsidRPr="00393727" w14:paraId="3C22C0D6" w14:textId="77777777" w:rsidTr="00393727">
        <w:trPr>
          <w:trHeight w:val="276"/>
          <w:jc w:val="center"/>
        </w:trPr>
        <w:tc>
          <w:tcPr>
            <w:tcW w:w="1872" w:type="dxa"/>
            <w:tcBorders>
              <w:top w:val="nil"/>
              <w:left w:val="single" w:sz="4" w:space="0" w:color="auto"/>
              <w:bottom w:val="single" w:sz="4" w:space="0" w:color="auto"/>
              <w:right w:val="single" w:sz="4" w:space="0" w:color="auto"/>
            </w:tcBorders>
            <w:shd w:val="clear" w:color="auto" w:fill="auto"/>
            <w:noWrap/>
            <w:vAlign w:val="bottom"/>
            <w:hideMark/>
          </w:tcPr>
          <w:p w14:paraId="2CDB9E33" w14:textId="77777777" w:rsidR="00393727" w:rsidRPr="00393727" w:rsidRDefault="00393727" w:rsidP="00393727">
            <w:pPr>
              <w:spacing w:after="0" w:line="360" w:lineRule="auto"/>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Category-5</w:t>
            </w:r>
          </w:p>
        </w:tc>
        <w:tc>
          <w:tcPr>
            <w:tcW w:w="2283" w:type="dxa"/>
            <w:tcBorders>
              <w:top w:val="nil"/>
              <w:left w:val="nil"/>
              <w:bottom w:val="single" w:sz="4" w:space="0" w:color="auto"/>
              <w:right w:val="single" w:sz="4" w:space="0" w:color="auto"/>
            </w:tcBorders>
            <w:shd w:val="clear" w:color="auto" w:fill="auto"/>
            <w:noWrap/>
            <w:vAlign w:val="bottom"/>
            <w:hideMark/>
          </w:tcPr>
          <w:p w14:paraId="0050E4BF"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10</w:t>
            </w:r>
          </w:p>
        </w:tc>
        <w:tc>
          <w:tcPr>
            <w:tcW w:w="2229" w:type="dxa"/>
            <w:tcBorders>
              <w:top w:val="nil"/>
              <w:left w:val="nil"/>
              <w:bottom w:val="single" w:sz="4" w:space="0" w:color="auto"/>
              <w:right w:val="single" w:sz="4" w:space="0" w:color="auto"/>
            </w:tcBorders>
            <w:shd w:val="clear" w:color="auto" w:fill="auto"/>
            <w:noWrap/>
            <w:vAlign w:val="bottom"/>
            <w:hideMark/>
          </w:tcPr>
          <w:p w14:paraId="3A641B2D"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3.00</w:t>
            </w:r>
          </w:p>
        </w:tc>
        <w:tc>
          <w:tcPr>
            <w:tcW w:w="2036" w:type="dxa"/>
            <w:tcBorders>
              <w:top w:val="nil"/>
              <w:left w:val="nil"/>
              <w:bottom w:val="single" w:sz="4" w:space="0" w:color="auto"/>
              <w:right w:val="single" w:sz="4" w:space="0" w:color="auto"/>
            </w:tcBorders>
            <w:shd w:val="clear" w:color="auto" w:fill="auto"/>
            <w:noWrap/>
            <w:vAlign w:val="bottom"/>
            <w:hideMark/>
          </w:tcPr>
          <w:p w14:paraId="2D735222" w14:textId="77777777" w:rsidR="00393727" w:rsidRPr="00393727" w:rsidRDefault="00393727" w:rsidP="00393727">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393727">
              <w:rPr>
                <w:rFonts w:ascii="Times New Roman" w:eastAsia="Times New Roman" w:hAnsi="Times New Roman" w:cs="Times New Roman"/>
                <w:color w:val="000000"/>
                <w:kern w:val="0"/>
                <w:sz w:val="24"/>
                <w:szCs w:val="24"/>
                <w:lang w:eastAsia="en-IN" w:bidi="hi-IN"/>
                <w14:ligatures w14:val="none"/>
              </w:rPr>
              <w:t>30</w:t>
            </w:r>
          </w:p>
        </w:tc>
      </w:tr>
      <w:tr w:rsidR="00393727" w:rsidRPr="00393727" w14:paraId="6ECA5E91" w14:textId="77777777" w:rsidTr="00393727">
        <w:trPr>
          <w:trHeight w:val="276"/>
          <w:jc w:val="center"/>
        </w:trPr>
        <w:tc>
          <w:tcPr>
            <w:tcW w:w="1872" w:type="dxa"/>
            <w:tcBorders>
              <w:top w:val="nil"/>
              <w:left w:val="single" w:sz="4" w:space="0" w:color="auto"/>
              <w:bottom w:val="single" w:sz="4" w:space="0" w:color="auto"/>
              <w:right w:val="single" w:sz="4" w:space="0" w:color="auto"/>
            </w:tcBorders>
            <w:shd w:val="clear" w:color="auto" w:fill="auto"/>
            <w:noWrap/>
            <w:vAlign w:val="bottom"/>
            <w:hideMark/>
          </w:tcPr>
          <w:p w14:paraId="1C4CAD75" w14:textId="77777777" w:rsidR="00393727" w:rsidRPr="00393727" w:rsidRDefault="00393727" w:rsidP="00393727">
            <w:pPr>
              <w:spacing w:after="0" w:line="360" w:lineRule="auto"/>
              <w:rPr>
                <w:rFonts w:ascii="Times New Roman" w:eastAsia="Times New Roman" w:hAnsi="Times New Roman" w:cs="Times New Roman"/>
                <w:b/>
                <w:bCs/>
                <w:color w:val="000000"/>
                <w:kern w:val="0"/>
                <w:sz w:val="24"/>
                <w:szCs w:val="24"/>
                <w:lang w:eastAsia="en-IN" w:bidi="hi-IN"/>
                <w14:ligatures w14:val="none"/>
              </w:rPr>
            </w:pPr>
            <w:proofErr w:type="gramStart"/>
            <w:r w:rsidRPr="00393727">
              <w:rPr>
                <w:rFonts w:ascii="Times New Roman" w:eastAsia="Times New Roman" w:hAnsi="Times New Roman" w:cs="Times New Roman"/>
                <w:b/>
                <w:bCs/>
                <w:color w:val="000000"/>
                <w:kern w:val="0"/>
                <w:sz w:val="24"/>
                <w:szCs w:val="24"/>
                <w:lang w:eastAsia="en-IN" w:bidi="hi-IN"/>
                <w14:ligatures w14:val="none"/>
              </w:rPr>
              <w:t>Total::</w:t>
            </w:r>
            <w:proofErr w:type="gramEnd"/>
          </w:p>
        </w:tc>
        <w:tc>
          <w:tcPr>
            <w:tcW w:w="2283" w:type="dxa"/>
            <w:tcBorders>
              <w:top w:val="nil"/>
              <w:left w:val="nil"/>
              <w:bottom w:val="single" w:sz="4" w:space="0" w:color="auto"/>
              <w:right w:val="single" w:sz="4" w:space="0" w:color="auto"/>
            </w:tcBorders>
            <w:shd w:val="clear" w:color="auto" w:fill="auto"/>
            <w:noWrap/>
            <w:vAlign w:val="bottom"/>
            <w:hideMark/>
          </w:tcPr>
          <w:p w14:paraId="44A72191" w14:textId="77777777" w:rsidR="00393727" w:rsidRPr="00393727" w:rsidRDefault="00393727" w:rsidP="00393727">
            <w:pPr>
              <w:spacing w:after="0" w:line="360" w:lineRule="auto"/>
              <w:jc w:val="center"/>
              <w:rPr>
                <w:rFonts w:ascii="Times New Roman" w:eastAsia="Times New Roman" w:hAnsi="Times New Roman" w:cs="Times New Roman"/>
                <w:b/>
                <w:bCs/>
                <w:color w:val="000000"/>
                <w:kern w:val="0"/>
                <w:sz w:val="24"/>
                <w:szCs w:val="24"/>
                <w:lang w:eastAsia="en-IN" w:bidi="hi-IN"/>
                <w14:ligatures w14:val="none"/>
              </w:rPr>
            </w:pPr>
            <w:r w:rsidRPr="00393727">
              <w:rPr>
                <w:rFonts w:ascii="Times New Roman" w:eastAsia="Times New Roman" w:hAnsi="Times New Roman" w:cs="Times New Roman"/>
                <w:b/>
                <w:bCs/>
                <w:color w:val="000000"/>
                <w:kern w:val="0"/>
                <w:sz w:val="24"/>
                <w:szCs w:val="24"/>
                <w:lang w:eastAsia="en-IN" w:bidi="hi-IN"/>
                <w14:ligatures w14:val="none"/>
              </w:rPr>
              <w:t>50</w:t>
            </w:r>
          </w:p>
        </w:tc>
        <w:tc>
          <w:tcPr>
            <w:tcW w:w="2229" w:type="dxa"/>
            <w:tcBorders>
              <w:top w:val="nil"/>
              <w:left w:val="nil"/>
              <w:bottom w:val="single" w:sz="4" w:space="0" w:color="auto"/>
              <w:right w:val="single" w:sz="4" w:space="0" w:color="auto"/>
            </w:tcBorders>
            <w:shd w:val="clear" w:color="auto" w:fill="auto"/>
            <w:noWrap/>
            <w:vAlign w:val="bottom"/>
            <w:hideMark/>
          </w:tcPr>
          <w:p w14:paraId="5ABF9D21" w14:textId="77777777" w:rsidR="00393727" w:rsidRPr="00393727" w:rsidRDefault="00393727" w:rsidP="00393727">
            <w:pPr>
              <w:spacing w:after="0" w:line="360" w:lineRule="auto"/>
              <w:jc w:val="center"/>
              <w:rPr>
                <w:rFonts w:ascii="Times New Roman" w:eastAsia="Times New Roman" w:hAnsi="Times New Roman" w:cs="Times New Roman"/>
                <w:b/>
                <w:bCs/>
                <w:color w:val="000000"/>
                <w:kern w:val="0"/>
                <w:sz w:val="24"/>
                <w:szCs w:val="24"/>
                <w:lang w:eastAsia="en-IN" w:bidi="hi-IN"/>
                <w14:ligatures w14:val="none"/>
              </w:rPr>
            </w:pPr>
            <w:r w:rsidRPr="00393727">
              <w:rPr>
                <w:rFonts w:ascii="Times New Roman" w:eastAsia="Times New Roman" w:hAnsi="Times New Roman" w:cs="Times New Roman"/>
                <w:b/>
                <w:bCs/>
                <w:color w:val="000000"/>
                <w:kern w:val="0"/>
                <w:sz w:val="24"/>
                <w:szCs w:val="24"/>
                <w:lang w:eastAsia="en-IN" w:bidi="hi-IN"/>
                <w14:ligatures w14:val="none"/>
              </w:rPr>
              <w:t>2.00</w:t>
            </w:r>
          </w:p>
        </w:tc>
        <w:tc>
          <w:tcPr>
            <w:tcW w:w="2036" w:type="dxa"/>
            <w:tcBorders>
              <w:top w:val="nil"/>
              <w:left w:val="nil"/>
              <w:bottom w:val="single" w:sz="4" w:space="0" w:color="auto"/>
              <w:right w:val="single" w:sz="4" w:space="0" w:color="auto"/>
            </w:tcBorders>
            <w:shd w:val="clear" w:color="auto" w:fill="auto"/>
            <w:noWrap/>
            <w:vAlign w:val="bottom"/>
            <w:hideMark/>
          </w:tcPr>
          <w:p w14:paraId="03FBD295" w14:textId="77777777" w:rsidR="00393727" w:rsidRPr="00393727" w:rsidRDefault="00393727" w:rsidP="00393727">
            <w:pPr>
              <w:spacing w:after="0" w:line="360" w:lineRule="auto"/>
              <w:jc w:val="center"/>
              <w:rPr>
                <w:rFonts w:ascii="Times New Roman" w:eastAsia="Times New Roman" w:hAnsi="Times New Roman" w:cs="Times New Roman"/>
                <w:b/>
                <w:bCs/>
                <w:color w:val="000000"/>
                <w:kern w:val="0"/>
                <w:sz w:val="24"/>
                <w:szCs w:val="24"/>
                <w:lang w:eastAsia="en-IN" w:bidi="hi-IN"/>
                <w14:ligatures w14:val="none"/>
              </w:rPr>
            </w:pPr>
            <w:r w:rsidRPr="00393727">
              <w:rPr>
                <w:rFonts w:ascii="Times New Roman" w:eastAsia="Times New Roman" w:hAnsi="Times New Roman" w:cs="Times New Roman"/>
                <w:b/>
                <w:bCs/>
                <w:color w:val="000000"/>
                <w:kern w:val="0"/>
                <w:sz w:val="24"/>
                <w:szCs w:val="24"/>
                <w:lang w:eastAsia="en-IN" w:bidi="hi-IN"/>
                <w14:ligatures w14:val="none"/>
              </w:rPr>
              <w:t>100</w:t>
            </w:r>
          </w:p>
        </w:tc>
      </w:tr>
    </w:tbl>
    <w:p w14:paraId="39D295CA" w14:textId="77777777" w:rsidR="00393727" w:rsidRDefault="00393727"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As such, some consumers are being charged at less than average rate and the differential amount is recovered in the form of cross-subsidy from others with more than average rates.</w:t>
      </w:r>
    </w:p>
    <w:p w14:paraId="6562C25E" w14:textId="4A38B5D8" w:rsidR="00976B1B" w:rsidRDefault="00B26F1D"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It is well known fact that beneficiaries of generating stations/transmission system for which tariff is fixed by Hon’ble Central Commission comprises of States with different user portfolio, l</w:t>
      </w:r>
      <w:r>
        <w:rPr>
          <w:rFonts w:ascii="Times New Roman" w:hAnsi="Times New Roman" w:cs="Times New Roman"/>
          <w:sz w:val="24"/>
          <w:szCs w:val="24"/>
        </w:rPr>
        <w:t>oad profile</w:t>
      </w:r>
      <w:r>
        <w:rPr>
          <w:rFonts w:ascii="Times New Roman" w:hAnsi="Times New Roman" w:cs="Times New Roman"/>
          <w:sz w:val="24"/>
          <w:szCs w:val="24"/>
        </w:rPr>
        <w:t xml:space="preserve"> and other characteristics like financial capabilities (in terms of Per Capita Income) similar to consumer mix of a distribution licensee.</w:t>
      </w:r>
    </w:p>
    <w:p w14:paraId="60089CDA" w14:textId="0D1EE19D" w:rsidR="00B26F1D" w:rsidRDefault="00B26F1D"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However, the governing regulation of </w:t>
      </w:r>
      <w:r>
        <w:rPr>
          <w:rFonts w:ascii="Times New Roman" w:hAnsi="Times New Roman" w:cs="Times New Roman"/>
          <w:sz w:val="24"/>
          <w:szCs w:val="24"/>
        </w:rPr>
        <w:t>Hon’ble Central Commission</w:t>
      </w:r>
      <w:r>
        <w:rPr>
          <w:rFonts w:ascii="Times New Roman" w:hAnsi="Times New Roman" w:cs="Times New Roman"/>
          <w:sz w:val="24"/>
          <w:szCs w:val="24"/>
        </w:rPr>
        <w:t xml:space="preserve"> </w:t>
      </w:r>
      <w:r w:rsidR="00936786">
        <w:rPr>
          <w:rFonts w:ascii="Times New Roman" w:hAnsi="Times New Roman" w:cs="Times New Roman"/>
          <w:sz w:val="24"/>
          <w:szCs w:val="24"/>
        </w:rPr>
        <w:t>provides for equal tariff for all</w:t>
      </w:r>
      <w:r>
        <w:rPr>
          <w:rFonts w:ascii="Times New Roman" w:hAnsi="Times New Roman" w:cs="Times New Roman"/>
          <w:sz w:val="24"/>
          <w:szCs w:val="24"/>
        </w:rPr>
        <w:t xml:space="preserve"> </w:t>
      </w:r>
      <w:r w:rsidR="00936786">
        <w:rPr>
          <w:rFonts w:ascii="Times New Roman" w:hAnsi="Times New Roman" w:cs="Times New Roman"/>
          <w:sz w:val="24"/>
          <w:szCs w:val="24"/>
        </w:rPr>
        <w:t>beneficiaries of generating stations/transmission system</w:t>
      </w:r>
      <w:r w:rsidR="00936786">
        <w:rPr>
          <w:rFonts w:ascii="Times New Roman" w:hAnsi="Times New Roman" w:cs="Times New Roman"/>
          <w:sz w:val="24"/>
          <w:szCs w:val="24"/>
        </w:rPr>
        <w:t xml:space="preserve"> totally ignoring the provisions of </w:t>
      </w:r>
      <w:r w:rsidR="00936786">
        <w:rPr>
          <w:rFonts w:ascii="Times New Roman" w:hAnsi="Times New Roman" w:cs="Times New Roman"/>
          <w:sz w:val="24"/>
          <w:szCs w:val="24"/>
        </w:rPr>
        <w:t>Sub-section 3 of Section 62 of the</w:t>
      </w:r>
      <w:r w:rsidR="00936786" w:rsidRPr="009F79C2">
        <w:rPr>
          <w:rFonts w:ascii="Times New Roman" w:hAnsi="Times New Roman" w:cs="Times New Roman"/>
          <w:sz w:val="24"/>
          <w:szCs w:val="24"/>
        </w:rPr>
        <w:t xml:space="preserve"> Electricity Act, 2003</w:t>
      </w:r>
      <w:r w:rsidR="00936786">
        <w:rPr>
          <w:rFonts w:ascii="Times New Roman" w:hAnsi="Times New Roman" w:cs="Times New Roman"/>
          <w:sz w:val="24"/>
          <w:szCs w:val="24"/>
        </w:rPr>
        <w:t>.</w:t>
      </w:r>
    </w:p>
    <w:p w14:paraId="15B1AC28" w14:textId="715BF377" w:rsidR="00AC65E1" w:rsidRDefault="00936786"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For example, </w:t>
      </w:r>
      <w:r w:rsidR="00AC65E1">
        <w:rPr>
          <w:rFonts w:ascii="Times New Roman" w:hAnsi="Times New Roman" w:cs="Times New Roman"/>
          <w:sz w:val="24"/>
          <w:szCs w:val="24"/>
        </w:rPr>
        <w:t xml:space="preserve">NTPC </w:t>
      </w:r>
      <w:proofErr w:type="spellStart"/>
      <w:r w:rsidR="00AC65E1">
        <w:rPr>
          <w:rFonts w:ascii="Times New Roman" w:hAnsi="Times New Roman" w:cs="Times New Roman"/>
          <w:sz w:val="24"/>
          <w:szCs w:val="24"/>
        </w:rPr>
        <w:t>Farakka</w:t>
      </w:r>
      <w:proofErr w:type="spellEnd"/>
      <w:r w:rsidR="00AC65E1">
        <w:rPr>
          <w:rFonts w:ascii="Times New Roman" w:hAnsi="Times New Roman" w:cs="Times New Roman"/>
          <w:sz w:val="24"/>
          <w:szCs w:val="24"/>
        </w:rPr>
        <w:t xml:space="preserve">-I&amp;II STPS has the following </w:t>
      </w:r>
      <w:r w:rsidR="00AC65E1">
        <w:rPr>
          <w:rFonts w:ascii="Times New Roman" w:hAnsi="Times New Roman" w:cs="Times New Roman"/>
          <w:sz w:val="24"/>
          <w:szCs w:val="24"/>
        </w:rPr>
        <w:t>17 beneficiaries</w:t>
      </w:r>
      <w:r w:rsidR="00AC65E1">
        <w:rPr>
          <w:rFonts w:ascii="Times New Roman" w:hAnsi="Times New Roman" w:cs="Times New Roman"/>
          <w:sz w:val="24"/>
          <w:szCs w:val="24"/>
        </w:rPr>
        <w: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111"/>
      </w:tblGrid>
      <w:tr w:rsidR="00AC65E1" w:rsidRPr="00AC65E1" w14:paraId="3F1A3BF5" w14:textId="35F5A644" w:rsidTr="00AC65E1">
        <w:trPr>
          <w:trHeight w:val="209"/>
          <w:jc w:val="center"/>
        </w:trPr>
        <w:tc>
          <w:tcPr>
            <w:tcW w:w="4248" w:type="dxa"/>
            <w:shd w:val="clear" w:color="auto" w:fill="auto"/>
            <w:noWrap/>
            <w:vAlign w:val="bottom"/>
            <w:hideMark/>
          </w:tcPr>
          <w:p w14:paraId="19AA8E1A" w14:textId="209B04A4"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Bihar</w:t>
            </w:r>
          </w:p>
        </w:tc>
        <w:tc>
          <w:tcPr>
            <w:tcW w:w="4111" w:type="dxa"/>
            <w:vAlign w:val="bottom"/>
          </w:tcPr>
          <w:p w14:paraId="2BF844FD" w14:textId="34FA663E"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Haryana</w:t>
            </w:r>
          </w:p>
        </w:tc>
      </w:tr>
      <w:tr w:rsidR="00AC65E1" w:rsidRPr="00AC65E1" w14:paraId="47F79925" w14:textId="6E7B5FEB" w:rsidTr="00AC65E1">
        <w:trPr>
          <w:trHeight w:val="201"/>
          <w:jc w:val="center"/>
        </w:trPr>
        <w:tc>
          <w:tcPr>
            <w:tcW w:w="4248" w:type="dxa"/>
            <w:shd w:val="clear" w:color="auto" w:fill="auto"/>
            <w:noWrap/>
            <w:vAlign w:val="bottom"/>
            <w:hideMark/>
          </w:tcPr>
          <w:p w14:paraId="6C7B0EE7" w14:textId="0AE73611"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Jharkhand</w:t>
            </w:r>
          </w:p>
        </w:tc>
        <w:tc>
          <w:tcPr>
            <w:tcW w:w="4111" w:type="dxa"/>
            <w:vAlign w:val="bottom"/>
          </w:tcPr>
          <w:p w14:paraId="0E1BBB8D" w14:textId="4C7F9EC8"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J &amp; K</w:t>
            </w:r>
          </w:p>
        </w:tc>
      </w:tr>
      <w:tr w:rsidR="00AC65E1" w:rsidRPr="00AC65E1" w14:paraId="226AD373" w14:textId="58F6C964" w:rsidTr="00AC65E1">
        <w:trPr>
          <w:trHeight w:val="288"/>
          <w:jc w:val="center"/>
        </w:trPr>
        <w:tc>
          <w:tcPr>
            <w:tcW w:w="4248" w:type="dxa"/>
            <w:shd w:val="clear" w:color="auto" w:fill="auto"/>
            <w:noWrap/>
            <w:vAlign w:val="bottom"/>
            <w:hideMark/>
          </w:tcPr>
          <w:p w14:paraId="00BB0992" w14:textId="416B0A94"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Odisha</w:t>
            </w:r>
          </w:p>
        </w:tc>
        <w:tc>
          <w:tcPr>
            <w:tcW w:w="4111" w:type="dxa"/>
            <w:vAlign w:val="bottom"/>
          </w:tcPr>
          <w:p w14:paraId="0E98F1E0" w14:textId="0159934B"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Delhi</w:t>
            </w:r>
          </w:p>
        </w:tc>
      </w:tr>
      <w:tr w:rsidR="00AC65E1" w:rsidRPr="00AC65E1" w14:paraId="378453E0" w14:textId="1C83CB1C" w:rsidTr="00AC65E1">
        <w:trPr>
          <w:trHeight w:val="288"/>
          <w:jc w:val="center"/>
        </w:trPr>
        <w:tc>
          <w:tcPr>
            <w:tcW w:w="4248" w:type="dxa"/>
            <w:shd w:val="clear" w:color="auto" w:fill="auto"/>
            <w:noWrap/>
            <w:vAlign w:val="bottom"/>
            <w:hideMark/>
          </w:tcPr>
          <w:p w14:paraId="773E9919" w14:textId="4994EB4C"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W</w:t>
            </w:r>
            <w:r>
              <w:rPr>
                <w:rFonts w:ascii="Times New Roman" w:eastAsia="Times New Roman" w:hAnsi="Times New Roman" w:cs="Times New Roman"/>
                <w:color w:val="000000"/>
                <w:kern w:val="0"/>
                <w:sz w:val="24"/>
                <w:szCs w:val="24"/>
                <w:lang w:eastAsia="en-IN" w:bidi="hi-IN"/>
                <w14:ligatures w14:val="none"/>
              </w:rPr>
              <w:t xml:space="preserve">est </w:t>
            </w:r>
            <w:r w:rsidRPr="00AC65E1">
              <w:rPr>
                <w:rFonts w:ascii="Times New Roman" w:eastAsia="Times New Roman" w:hAnsi="Times New Roman" w:cs="Times New Roman"/>
                <w:color w:val="000000"/>
                <w:kern w:val="0"/>
                <w:sz w:val="24"/>
                <w:szCs w:val="24"/>
                <w:lang w:eastAsia="en-IN" w:bidi="hi-IN"/>
                <w14:ligatures w14:val="none"/>
              </w:rPr>
              <w:t>B</w:t>
            </w:r>
            <w:r>
              <w:rPr>
                <w:rFonts w:ascii="Times New Roman" w:eastAsia="Times New Roman" w:hAnsi="Times New Roman" w:cs="Times New Roman"/>
                <w:color w:val="000000"/>
                <w:kern w:val="0"/>
                <w:sz w:val="24"/>
                <w:szCs w:val="24"/>
                <w:lang w:eastAsia="en-IN" w:bidi="hi-IN"/>
                <w14:ligatures w14:val="none"/>
              </w:rPr>
              <w:t>engal</w:t>
            </w:r>
          </w:p>
        </w:tc>
        <w:tc>
          <w:tcPr>
            <w:tcW w:w="4111" w:type="dxa"/>
            <w:vAlign w:val="bottom"/>
          </w:tcPr>
          <w:p w14:paraId="0713B583" w14:textId="5C3F7DEF"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Assam</w:t>
            </w:r>
          </w:p>
        </w:tc>
      </w:tr>
      <w:tr w:rsidR="00AC65E1" w:rsidRPr="00AC65E1" w14:paraId="0FE9C8BB" w14:textId="1A2708E1" w:rsidTr="00AC65E1">
        <w:trPr>
          <w:trHeight w:val="288"/>
          <w:jc w:val="center"/>
        </w:trPr>
        <w:tc>
          <w:tcPr>
            <w:tcW w:w="4248" w:type="dxa"/>
            <w:shd w:val="clear" w:color="auto" w:fill="auto"/>
            <w:noWrap/>
            <w:vAlign w:val="bottom"/>
            <w:hideMark/>
          </w:tcPr>
          <w:p w14:paraId="6A9276F0" w14:textId="17E73F24"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Sikkim</w:t>
            </w:r>
          </w:p>
        </w:tc>
        <w:tc>
          <w:tcPr>
            <w:tcW w:w="4111" w:type="dxa"/>
            <w:vAlign w:val="bottom"/>
          </w:tcPr>
          <w:p w14:paraId="668C729B" w14:textId="46BC00B6"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Nagaland</w:t>
            </w:r>
          </w:p>
        </w:tc>
      </w:tr>
      <w:tr w:rsidR="00AC65E1" w:rsidRPr="00AC65E1" w14:paraId="541804DE" w14:textId="3515A077" w:rsidTr="00AC65E1">
        <w:trPr>
          <w:trHeight w:val="288"/>
          <w:jc w:val="center"/>
        </w:trPr>
        <w:tc>
          <w:tcPr>
            <w:tcW w:w="4248" w:type="dxa"/>
            <w:shd w:val="clear" w:color="auto" w:fill="auto"/>
            <w:noWrap/>
            <w:vAlign w:val="bottom"/>
            <w:hideMark/>
          </w:tcPr>
          <w:p w14:paraId="16C664DC" w14:textId="237A18AB"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proofErr w:type="spellStart"/>
            <w:r w:rsidRPr="00AC65E1">
              <w:rPr>
                <w:rFonts w:ascii="Times New Roman" w:eastAsia="Times New Roman" w:hAnsi="Times New Roman" w:cs="Times New Roman"/>
                <w:color w:val="000000"/>
                <w:kern w:val="0"/>
                <w:sz w:val="24"/>
                <w:szCs w:val="24"/>
                <w:lang w:eastAsia="en-IN" w:bidi="hi-IN"/>
                <w14:ligatures w14:val="none"/>
              </w:rPr>
              <w:t>Telengana</w:t>
            </w:r>
            <w:proofErr w:type="spellEnd"/>
          </w:p>
        </w:tc>
        <w:tc>
          <w:tcPr>
            <w:tcW w:w="4111" w:type="dxa"/>
            <w:vAlign w:val="bottom"/>
          </w:tcPr>
          <w:p w14:paraId="19B9CE3F" w14:textId="448A59B3"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Arunachal</w:t>
            </w:r>
          </w:p>
        </w:tc>
      </w:tr>
      <w:tr w:rsidR="00AC65E1" w:rsidRPr="00AC65E1" w14:paraId="116893FB" w14:textId="082A18A3" w:rsidTr="00AC65E1">
        <w:trPr>
          <w:trHeight w:val="288"/>
          <w:jc w:val="center"/>
        </w:trPr>
        <w:tc>
          <w:tcPr>
            <w:tcW w:w="4248" w:type="dxa"/>
            <w:shd w:val="clear" w:color="auto" w:fill="auto"/>
            <w:noWrap/>
            <w:vAlign w:val="bottom"/>
            <w:hideMark/>
          </w:tcPr>
          <w:p w14:paraId="387F9449" w14:textId="1D353348"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Tamil</w:t>
            </w:r>
            <w:r>
              <w:rPr>
                <w:rFonts w:ascii="Times New Roman" w:eastAsia="Times New Roman" w:hAnsi="Times New Roman" w:cs="Times New Roman"/>
                <w:color w:val="000000"/>
                <w:kern w:val="0"/>
                <w:sz w:val="24"/>
                <w:szCs w:val="24"/>
                <w:lang w:eastAsia="en-IN" w:bidi="hi-IN"/>
                <w14:ligatures w14:val="none"/>
              </w:rPr>
              <w:t xml:space="preserve"> N</w:t>
            </w:r>
            <w:r w:rsidRPr="00AC65E1">
              <w:rPr>
                <w:rFonts w:ascii="Times New Roman" w:eastAsia="Times New Roman" w:hAnsi="Times New Roman" w:cs="Times New Roman"/>
                <w:color w:val="000000"/>
                <w:kern w:val="0"/>
                <w:sz w:val="24"/>
                <w:szCs w:val="24"/>
                <w:lang w:eastAsia="en-IN" w:bidi="hi-IN"/>
                <w14:ligatures w14:val="none"/>
              </w:rPr>
              <w:t>adu</w:t>
            </w:r>
          </w:p>
        </w:tc>
        <w:tc>
          <w:tcPr>
            <w:tcW w:w="4111" w:type="dxa"/>
            <w:vAlign w:val="bottom"/>
          </w:tcPr>
          <w:p w14:paraId="51FFDF35" w14:textId="37C7CF92"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Mizoram</w:t>
            </w:r>
          </w:p>
        </w:tc>
      </w:tr>
      <w:tr w:rsidR="00AC65E1" w:rsidRPr="00AC65E1" w14:paraId="034B44E9" w14:textId="6022E4B8" w:rsidTr="00AC65E1">
        <w:trPr>
          <w:trHeight w:val="288"/>
          <w:jc w:val="center"/>
        </w:trPr>
        <w:tc>
          <w:tcPr>
            <w:tcW w:w="4248" w:type="dxa"/>
            <w:shd w:val="clear" w:color="auto" w:fill="auto"/>
            <w:noWrap/>
            <w:vAlign w:val="bottom"/>
            <w:hideMark/>
          </w:tcPr>
          <w:p w14:paraId="7401C764" w14:textId="7C6E4D08"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Gujarat</w:t>
            </w:r>
          </w:p>
        </w:tc>
        <w:tc>
          <w:tcPr>
            <w:tcW w:w="4111" w:type="dxa"/>
            <w:vAlign w:val="bottom"/>
          </w:tcPr>
          <w:p w14:paraId="35AD5956" w14:textId="36D5560A"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Pr>
                <w:rFonts w:ascii="Times New Roman" w:eastAsia="Times New Roman" w:hAnsi="Times New Roman" w:cs="Times New Roman"/>
                <w:color w:val="000000"/>
                <w:kern w:val="0"/>
                <w:sz w:val="24"/>
                <w:szCs w:val="24"/>
                <w:lang w:eastAsia="en-IN" w:bidi="hi-IN"/>
                <w14:ligatures w14:val="none"/>
              </w:rPr>
              <w:t>Uttar Pradesh</w:t>
            </w:r>
          </w:p>
        </w:tc>
      </w:tr>
      <w:tr w:rsidR="00AC65E1" w:rsidRPr="00AC65E1" w14:paraId="7296A47B" w14:textId="564900B2" w:rsidTr="00AC65E1">
        <w:trPr>
          <w:trHeight w:val="288"/>
          <w:jc w:val="center"/>
        </w:trPr>
        <w:tc>
          <w:tcPr>
            <w:tcW w:w="8359" w:type="dxa"/>
            <w:gridSpan w:val="2"/>
            <w:shd w:val="clear" w:color="auto" w:fill="auto"/>
            <w:noWrap/>
            <w:vAlign w:val="bottom"/>
            <w:hideMark/>
          </w:tcPr>
          <w:p w14:paraId="49AC9F4E" w14:textId="2CCB0F83" w:rsidR="00AC65E1" w:rsidRPr="00AC65E1" w:rsidRDefault="00AC65E1" w:rsidP="00AC65E1">
            <w:pPr>
              <w:spacing w:after="0" w:line="360" w:lineRule="auto"/>
              <w:jc w:val="center"/>
              <w:rPr>
                <w:rFonts w:ascii="Times New Roman" w:eastAsia="Times New Roman" w:hAnsi="Times New Roman" w:cs="Times New Roman"/>
                <w:color w:val="000000"/>
                <w:kern w:val="0"/>
                <w:sz w:val="24"/>
                <w:szCs w:val="24"/>
                <w:lang w:eastAsia="en-IN" w:bidi="hi-IN"/>
                <w14:ligatures w14:val="none"/>
              </w:rPr>
            </w:pPr>
            <w:r w:rsidRPr="00AC65E1">
              <w:rPr>
                <w:rFonts w:ascii="Times New Roman" w:eastAsia="Times New Roman" w:hAnsi="Times New Roman" w:cs="Times New Roman"/>
                <w:color w:val="000000"/>
                <w:kern w:val="0"/>
                <w:sz w:val="24"/>
                <w:szCs w:val="24"/>
                <w:lang w:eastAsia="en-IN" w:bidi="hi-IN"/>
                <w14:ligatures w14:val="none"/>
              </w:rPr>
              <w:t>Bangladesh</w:t>
            </w:r>
            <w:r>
              <w:rPr>
                <w:rFonts w:ascii="Times New Roman" w:eastAsia="Times New Roman" w:hAnsi="Times New Roman" w:cs="Times New Roman"/>
                <w:color w:val="000000"/>
                <w:kern w:val="0"/>
                <w:sz w:val="24"/>
                <w:szCs w:val="24"/>
                <w:lang w:eastAsia="en-IN" w:bidi="hi-IN"/>
                <w14:ligatures w14:val="none"/>
              </w:rPr>
              <w:t xml:space="preserve"> (NVVNL)</w:t>
            </w:r>
          </w:p>
        </w:tc>
      </w:tr>
    </w:tbl>
    <w:p w14:paraId="3FE8FDCB" w14:textId="77777777" w:rsidR="00AC65E1" w:rsidRDefault="00AC65E1" w:rsidP="009F79C2">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It is very clear that the beneficiary States vary in many aspects exactly in line with retail consumer mix of a distribution utility. However, all the beneficiaries are billed at uniform rate in this case unlike a distribution tariff design. </w:t>
      </w:r>
    </w:p>
    <w:p w14:paraId="685D3088" w14:textId="77777777" w:rsidR="00AC65E1" w:rsidRDefault="00AC65E1" w:rsidP="00AC65E1">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Such scheme of affairs is apparently imbalanced with advantage to already advantageous and vice versa.</w:t>
      </w:r>
    </w:p>
    <w:p w14:paraId="4F27138E" w14:textId="3F1B6A94" w:rsidR="00723440" w:rsidRDefault="00936786" w:rsidP="00936786">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Power purchase cost (including transmission charges) is the major (</w:t>
      </w:r>
      <w:r w:rsidRPr="00936786">
        <w:rPr>
          <w:rFonts w:ascii="Times New Roman" w:hAnsi="Times New Roman" w:cs="Times New Roman"/>
          <w:sz w:val="24"/>
          <w:szCs w:val="24"/>
        </w:rPr>
        <w:t>75.90</w:t>
      </w:r>
      <w:r>
        <w:rPr>
          <w:rFonts w:ascii="Times New Roman" w:hAnsi="Times New Roman" w:cs="Times New Roman"/>
          <w:sz w:val="24"/>
          <w:szCs w:val="24"/>
        </w:rPr>
        <w:t>% for FY 21-22) cost component for distribution utilities</w:t>
      </w:r>
      <w:r w:rsidR="0047255C">
        <w:rPr>
          <w:rFonts w:ascii="Times New Roman" w:hAnsi="Times New Roman" w:cs="Times New Roman"/>
          <w:sz w:val="24"/>
          <w:szCs w:val="24"/>
        </w:rPr>
        <w:t>. As such, any impact on the same will have direct implication on cost of supply vis-à-vis retail tariff</w:t>
      </w:r>
      <w:r w:rsidR="00723440">
        <w:rPr>
          <w:rFonts w:ascii="Times New Roman" w:hAnsi="Times New Roman" w:cs="Times New Roman"/>
          <w:sz w:val="24"/>
          <w:szCs w:val="24"/>
        </w:rPr>
        <w:t xml:space="preserve"> with cascading effect on many other</w:t>
      </w:r>
      <w:r w:rsidR="00B5081C">
        <w:rPr>
          <w:rFonts w:ascii="Times New Roman" w:hAnsi="Times New Roman" w:cs="Times New Roman"/>
          <w:sz w:val="24"/>
          <w:szCs w:val="24"/>
        </w:rPr>
        <w:t xml:space="preserve"> vital</w:t>
      </w:r>
      <w:r w:rsidR="00723440">
        <w:rPr>
          <w:rFonts w:ascii="Times New Roman" w:hAnsi="Times New Roman" w:cs="Times New Roman"/>
          <w:sz w:val="24"/>
          <w:szCs w:val="24"/>
        </w:rPr>
        <w:t xml:space="preserve"> indices of the State</w:t>
      </w:r>
      <w:r w:rsidR="0047255C">
        <w:rPr>
          <w:rFonts w:ascii="Times New Roman" w:hAnsi="Times New Roman" w:cs="Times New Roman"/>
          <w:sz w:val="24"/>
          <w:szCs w:val="24"/>
        </w:rPr>
        <w:t>.</w:t>
      </w:r>
    </w:p>
    <w:p w14:paraId="555C3B6D" w14:textId="72BDBB57" w:rsidR="0047255C" w:rsidRDefault="00B5081C" w:rsidP="00936786">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It needs no further mention that such scheme of affairs </w:t>
      </w:r>
      <w:r w:rsidR="00FF2C45">
        <w:rPr>
          <w:rFonts w:ascii="Times New Roman" w:hAnsi="Times New Roman" w:cs="Times New Roman"/>
          <w:sz w:val="24"/>
          <w:szCs w:val="24"/>
        </w:rPr>
        <w:t>is</w:t>
      </w:r>
      <w:r>
        <w:rPr>
          <w:rFonts w:ascii="Times New Roman" w:hAnsi="Times New Roman" w:cs="Times New Roman"/>
          <w:sz w:val="24"/>
          <w:szCs w:val="24"/>
        </w:rPr>
        <w:t xml:space="preserve"> acting as one of the hindrances in removal of cross-subsidies in States with challenging consumer vis-à-vis sale mix.</w:t>
      </w:r>
      <w:r w:rsidR="003250DD">
        <w:rPr>
          <w:rFonts w:ascii="Times New Roman" w:hAnsi="Times New Roman" w:cs="Times New Roman"/>
          <w:sz w:val="24"/>
          <w:szCs w:val="24"/>
        </w:rPr>
        <w:t xml:space="preserve"> For example, the </w:t>
      </w:r>
      <w:r w:rsidR="007E55BB">
        <w:rPr>
          <w:rFonts w:ascii="Times New Roman" w:hAnsi="Times New Roman" w:cs="Times New Roman"/>
          <w:sz w:val="24"/>
          <w:szCs w:val="24"/>
        </w:rPr>
        <w:t>cross-subsidy</w:t>
      </w:r>
      <w:r w:rsidR="003250DD">
        <w:rPr>
          <w:rFonts w:ascii="Times New Roman" w:hAnsi="Times New Roman" w:cs="Times New Roman"/>
          <w:sz w:val="24"/>
          <w:szCs w:val="24"/>
        </w:rPr>
        <w:t xml:space="preserve"> amount in the state of Assam</w:t>
      </w:r>
      <w:r w:rsidR="007E55BB">
        <w:rPr>
          <w:rFonts w:ascii="Times New Roman" w:hAnsi="Times New Roman" w:cs="Times New Roman"/>
          <w:sz w:val="24"/>
          <w:szCs w:val="24"/>
        </w:rPr>
        <w:t xml:space="preserve"> has exceeded Rs. 650 Crore for current year as compared to ~ Rs. 150 Crore a decade back with massive increase in cross-subsidy beneficiary consumer base in the said period vis-à-vis uniform input cost in respect of power purchase cost. On the other hand, the beneficiary states with favourable </w:t>
      </w:r>
      <w:r w:rsidR="007E55BB">
        <w:rPr>
          <w:rFonts w:ascii="Times New Roman" w:hAnsi="Times New Roman" w:cs="Times New Roman"/>
          <w:sz w:val="24"/>
          <w:szCs w:val="24"/>
        </w:rPr>
        <w:t>consumer vis-à-vis sale mix</w:t>
      </w:r>
      <w:r w:rsidR="007E55BB">
        <w:rPr>
          <w:rFonts w:ascii="Times New Roman" w:hAnsi="Times New Roman" w:cs="Times New Roman"/>
          <w:sz w:val="24"/>
          <w:szCs w:val="24"/>
        </w:rPr>
        <w:t xml:space="preserve"> would have garnered benefit on the same count. But it is also true that</w:t>
      </w:r>
      <w:r w:rsidR="00FF2C45">
        <w:rPr>
          <w:rFonts w:ascii="Times New Roman" w:hAnsi="Times New Roman" w:cs="Times New Roman"/>
          <w:sz w:val="24"/>
          <w:szCs w:val="24"/>
        </w:rPr>
        <w:t xml:space="preserve"> the reduction of cross-subsidy as envisaged in initial tariff policy is yet to be attained nationally.</w:t>
      </w:r>
      <w:r w:rsidR="007E55BB">
        <w:rPr>
          <w:rFonts w:ascii="Times New Roman" w:hAnsi="Times New Roman" w:cs="Times New Roman"/>
          <w:sz w:val="24"/>
          <w:szCs w:val="24"/>
        </w:rPr>
        <w:t xml:space="preserve"> </w:t>
      </w:r>
      <w:r>
        <w:rPr>
          <w:rFonts w:ascii="Times New Roman" w:hAnsi="Times New Roman" w:cs="Times New Roman"/>
          <w:sz w:val="24"/>
          <w:szCs w:val="24"/>
        </w:rPr>
        <w:t xml:space="preserve">    </w:t>
      </w:r>
      <w:r w:rsidR="0047255C">
        <w:rPr>
          <w:rFonts w:ascii="Times New Roman" w:hAnsi="Times New Roman" w:cs="Times New Roman"/>
          <w:sz w:val="24"/>
          <w:szCs w:val="24"/>
        </w:rPr>
        <w:t xml:space="preserve"> </w:t>
      </w:r>
    </w:p>
    <w:p w14:paraId="7C0A1C77" w14:textId="1F289CF5" w:rsidR="00FF2C45" w:rsidRDefault="00FF2C45" w:rsidP="00936786">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As such, it is evident that application of </w:t>
      </w:r>
      <w:r>
        <w:rPr>
          <w:rFonts w:ascii="Times New Roman" w:hAnsi="Times New Roman" w:cs="Times New Roman"/>
          <w:sz w:val="24"/>
          <w:szCs w:val="24"/>
        </w:rPr>
        <w:t>Sub-section 3 of Section 62 of the</w:t>
      </w:r>
      <w:r w:rsidRPr="009F79C2">
        <w:rPr>
          <w:rFonts w:ascii="Times New Roman" w:hAnsi="Times New Roman" w:cs="Times New Roman"/>
          <w:sz w:val="24"/>
          <w:szCs w:val="24"/>
        </w:rPr>
        <w:t xml:space="preserve"> Electricity Act, 2003</w:t>
      </w:r>
      <w:r>
        <w:rPr>
          <w:rFonts w:ascii="Times New Roman" w:hAnsi="Times New Roman" w:cs="Times New Roman"/>
          <w:sz w:val="24"/>
          <w:szCs w:val="24"/>
        </w:rPr>
        <w:t xml:space="preserve"> in recovery of charges from different beneficiaries at different rates will address the greater issue of the system in the interest of all stakeholders in equitable justice without putting any financial risk to generating/transmission entities. Rather, </w:t>
      </w:r>
      <w:r>
        <w:rPr>
          <w:rFonts w:ascii="Times New Roman" w:hAnsi="Times New Roman" w:cs="Times New Roman"/>
          <w:sz w:val="24"/>
          <w:szCs w:val="24"/>
        </w:rPr>
        <w:t>generating/transmission entities</w:t>
      </w:r>
      <w:r>
        <w:rPr>
          <w:rFonts w:ascii="Times New Roman" w:hAnsi="Times New Roman" w:cs="Times New Roman"/>
          <w:sz w:val="24"/>
          <w:szCs w:val="24"/>
        </w:rPr>
        <w:t xml:space="preserve"> will be placed </w:t>
      </w:r>
      <w:r>
        <w:rPr>
          <w:rFonts w:ascii="Times New Roman" w:hAnsi="Times New Roman" w:cs="Times New Roman"/>
          <w:sz w:val="24"/>
          <w:szCs w:val="24"/>
        </w:rPr>
        <w:t xml:space="preserve">in </w:t>
      </w:r>
      <w:r>
        <w:rPr>
          <w:rFonts w:ascii="Times New Roman" w:hAnsi="Times New Roman" w:cs="Times New Roman"/>
          <w:sz w:val="24"/>
          <w:szCs w:val="24"/>
        </w:rPr>
        <w:t xml:space="preserve">administratively </w:t>
      </w:r>
      <w:r>
        <w:rPr>
          <w:rFonts w:ascii="Times New Roman" w:hAnsi="Times New Roman" w:cs="Times New Roman"/>
          <w:sz w:val="24"/>
          <w:szCs w:val="24"/>
        </w:rPr>
        <w:t>better</w:t>
      </w:r>
      <w:r>
        <w:rPr>
          <w:rFonts w:ascii="Times New Roman" w:hAnsi="Times New Roman" w:cs="Times New Roman"/>
          <w:sz w:val="24"/>
          <w:szCs w:val="24"/>
        </w:rPr>
        <w:t xml:space="preserve"> position with exposure of lesser amount against </w:t>
      </w:r>
      <w:r w:rsidR="00525039">
        <w:rPr>
          <w:rFonts w:ascii="Times New Roman" w:hAnsi="Times New Roman" w:cs="Times New Roman"/>
          <w:sz w:val="24"/>
          <w:szCs w:val="24"/>
        </w:rPr>
        <w:t>relatively weaker beneficiaries in financial terms.</w:t>
      </w:r>
    </w:p>
    <w:p w14:paraId="476AAB65" w14:textId="77777777" w:rsidR="00B02B78" w:rsidRPr="00B02B78" w:rsidRDefault="00525039" w:rsidP="00936786">
      <w:pPr>
        <w:spacing w:before="120" w:after="120" w:line="360" w:lineRule="auto"/>
        <w:jc w:val="both"/>
        <w:rPr>
          <w:rFonts w:ascii="Times New Roman" w:hAnsi="Times New Roman" w:cs="Times New Roman"/>
          <w:b/>
          <w:bCs/>
          <w:sz w:val="24"/>
          <w:szCs w:val="24"/>
          <w:u w:val="single"/>
        </w:rPr>
      </w:pPr>
      <w:r w:rsidRPr="00B02B78">
        <w:rPr>
          <w:rFonts w:ascii="Times New Roman" w:hAnsi="Times New Roman" w:cs="Times New Roman"/>
          <w:b/>
          <w:bCs/>
          <w:sz w:val="24"/>
          <w:szCs w:val="24"/>
          <w:u w:val="single"/>
        </w:rPr>
        <w:t xml:space="preserve">In view of the aforementioned, Hon’ble Commission is requested kindly to develop and factorise a mechanism of recovery at differential rates from different beneficiaries on basis of in consistent with </w:t>
      </w:r>
      <w:r w:rsidRPr="00B02B78">
        <w:rPr>
          <w:rFonts w:ascii="Times New Roman" w:hAnsi="Times New Roman" w:cs="Times New Roman"/>
          <w:b/>
          <w:bCs/>
          <w:sz w:val="24"/>
          <w:szCs w:val="24"/>
          <w:u w:val="single"/>
        </w:rPr>
        <w:t>Sub-section 3 of Section 62 of the Electricity Act, 2003</w:t>
      </w:r>
      <w:r w:rsidRPr="00B02B78">
        <w:rPr>
          <w:rFonts w:ascii="Times New Roman" w:hAnsi="Times New Roman" w:cs="Times New Roman"/>
          <w:b/>
          <w:bCs/>
          <w:sz w:val="24"/>
          <w:szCs w:val="24"/>
          <w:u w:val="single"/>
        </w:rPr>
        <w:t xml:space="preserve">. In this endeavour, an index may be developed linking with load profile, weightage of indices for tax devolution and many ancillary parameters </w:t>
      </w:r>
      <w:r w:rsidR="00B02B78" w:rsidRPr="00B02B78">
        <w:rPr>
          <w:rFonts w:ascii="Times New Roman" w:hAnsi="Times New Roman" w:cs="Times New Roman"/>
          <w:b/>
          <w:bCs/>
          <w:sz w:val="24"/>
          <w:szCs w:val="24"/>
          <w:u w:val="single"/>
        </w:rPr>
        <w:t>and the same may be reviewed with every MYT regime.</w:t>
      </w:r>
    </w:p>
    <w:p w14:paraId="28223B41" w14:textId="530023CF" w:rsidR="00525039" w:rsidRDefault="00525039" w:rsidP="00936786">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6915B44B" w14:textId="1BF1B9C4" w:rsidR="00976B1B" w:rsidRDefault="00976B1B" w:rsidP="009F79C2">
      <w:pPr>
        <w:spacing w:before="120" w:after="120" w:line="360" w:lineRule="auto"/>
        <w:jc w:val="both"/>
        <w:rPr>
          <w:rFonts w:ascii="Times New Roman" w:hAnsi="Times New Roman" w:cs="Times New Roman"/>
          <w:sz w:val="24"/>
          <w:szCs w:val="24"/>
        </w:rPr>
      </w:pPr>
    </w:p>
    <w:p w14:paraId="60544E30" w14:textId="2CBB3DC4" w:rsidR="00B02B78" w:rsidRPr="00B02B78" w:rsidRDefault="00B02B78" w:rsidP="00B02B78">
      <w:pPr>
        <w:spacing w:line="360" w:lineRule="auto"/>
        <w:jc w:val="both"/>
        <w:rPr>
          <w:rFonts w:ascii="Times New Roman" w:hAnsi="Times New Roman" w:cs="Times New Roman"/>
          <w:b/>
          <w:bCs/>
          <w:sz w:val="24"/>
          <w:szCs w:val="24"/>
          <w:u w:val="single"/>
        </w:rPr>
      </w:pPr>
      <w:r w:rsidRPr="00B02B78">
        <w:rPr>
          <w:rFonts w:ascii="Times New Roman" w:hAnsi="Times New Roman" w:cs="Times New Roman"/>
          <w:b/>
          <w:bCs/>
          <w:sz w:val="24"/>
          <w:szCs w:val="24"/>
          <w:u w:val="single"/>
        </w:rPr>
        <w:lastRenderedPageBreak/>
        <w:t>Observations on some critical points on the draft CERC MYT 2024-29 Regulations</w:t>
      </w:r>
    </w:p>
    <w:p w14:paraId="1D486FD1" w14:textId="77777777" w:rsidR="00B02B78" w:rsidRPr="00B02B78" w:rsidRDefault="00B02B78" w:rsidP="00B02B78">
      <w:pPr>
        <w:spacing w:line="360" w:lineRule="auto"/>
        <w:jc w:val="both"/>
        <w:rPr>
          <w:rFonts w:ascii="Times New Roman" w:hAnsi="Times New Roman" w:cs="Times New Roman"/>
          <w:b/>
          <w:bCs/>
          <w:sz w:val="24"/>
          <w:szCs w:val="24"/>
          <w:u w:val="single"/>
        </w:rPr>
      </w:pPr>
      <w:r w:rsidRPr="00B02B78">
        <w:rPr>
          <w:rFonts w:ascii="Times New Roman" w:hAnsi="Times New Roman" w:cs="Times New Roman"/>
          <w:b/>
          <w:bCs/>
          <w:sz w:val="24"/>
          <w:szCs w:val="24"/>
          <w:u w:val="single"/>
        </w:rPr>
        <w:t>Return on Equity (</w:t>
      </w:r>
      <w:proofErr w:type="spellStart"/>
      <w:r w:rsidRPr="00B02B78">
        <w:rPr>
          <w:rFonts w:ascii="Times New Roman" w:hAnsi="Times New Roman" w:cs="Times New Roman"/>
          <w:b/>
          <w:bCs/>
          <w:sz w:val="24"/>
          <w:szCs w:val="24"/>
          <w:u w:val="single"/>
        </w:rPr>
        <w:t>RoE</w:t>
      </w:r>
      <w:proofErr w:type="spellEnd"/>
      <w:r w:rsidRPr="00B02B78">
        <w:rPr>
          <w:rFonts w:ascii="Times New Roman" w:hAnsi="Times New Roman" w:cs="Times New Roman"/>
          <w:b/>
          <w:bCs/>
          <w:sz w:val="24"/>
          <w:szCs w:val="24"/>
          <w:u w:val="single"/>
        </w:rPr>
        <w:t>)</w:t>
      </w:r>
      <w:r w:rsidRPr="00B02B78">
        <w:rPr>
          <w:rFonts w:ascii="Times New Roman" w:hAnsi="Times New Roman" w:cs="Times New Roman"/>
          <w:b/>
          <w:bCs/>
          <w:sz w:val="24"/>
          <w:szCs w:val="24"/>
        </w:rPr>
        <w:t>:</w:t>
      </w:r>
    </w:p>
    <w:p w14:paraId="7EF6595F" w14:textId="77777777" w:rsidR="00B02B78" w:rsidRPr="00B02B78" w:rsidRDefault="00B02B78" w:rsidP="00B02B78">
      <w:pPr>
        <w:pStyle w:val="ListParagraph"/>
        <w:numPr>
          <w:ilvl w:val="0"/>
          <w:numId w:val="1"/>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 xml:space="preserve">Requirement of lucrative </w:t>
      </w:r>
      <w:proofErr w:type="spellStart"/>
      <w:r w:rsidRPr="00B02B78">
        <w:rPr>
          <w:rFonts w:ascii="Times New Roman" w:hAnsi="Times New Roman" w:cs="Times New Roman"/>
          <w:sz w:val="24"/>
          <w:szCs w:val="24"/>
        </w:rPr>
        <w:t>RoE</w:t>
      </w:r>
      <w:proofErr w:type="spellEnd"/>
      <w:r w:rsidRPr="00B02B78">
        <w:rPr>
          <w:rFonts w:ascii="Times New Roman" w:hAnsi="Times New Roman" w:cs="Times New Roman"/>
          <w:sz w:val="24"/>
          <w:szCs w:val="24"/>
        </w:rPr>
        <w:t xml:space="preserve"> to promote investment in the sector is undeniable. However, blanket retainment of 15.5% for thermal/hydro as well as transmission assets doesn’t seem very prudent in the prevalent interest regime. Rather, it would have been prudent to allow recovery of return on equity (</w:t>
      </w:r>
      <w:proofErr w:type="spellStart"/>
      <w:r w:rsidRPr="00B02B78">
        <w:rPr>
          <w:rFonts w:ascii="Times New Roman" w:hAnsi="Times New Roman" w:cs="Times New Roman"/>
          <w:sz w:val="24"/>
          <w:szCs w:val="24"/>
        </w:rPr>
        <w:t>RoE</w:t>
      </w:r>
      <w:proofErr w:type="spellEnd"/>
      <w:r w:rsidRPr="00B02B78">
        <w:rPr>
          <w:rFonts w:ascii="Times New Roman" w:hAnsi="Times New Roman" w:cs="Times New Roman"/>
          <w:sz w:val="24"/>
          <w:szCs w:val="24"/>
        </w:rPr>
        <w:t xml:space="preserve">) for new project in the MYT regime in gradually increasing manner linked with performance to ensure optimal performance vis-à-vis moderation of tariff throughout the project life e.g. 10% </w:t>
      </w:r>
      <w:proofErr w:type="spellStart"/>
      <w:r w:rsidRPr="00B02B78">
        <w:rPr>
          <w:rFonts w:ascii="Times New Roman" w:hAnsi="Times New Roman" w:cs="Times New Roman"/>
          <w:sz w:val="24"/>
          <w:szCs w:val="24"/>
        </w:rPr>
        <w:t>RoE</w:t>
      </w:r>
      <w:proofErr w:type="spellEnd"/>
      <w:r w:rsidRPr="00B02B78">
        <w:rPr>
          <w:rFonts w:ascii="Times New Roman" w:hAnsi="Times New Roman" w:cs="Times New Roman"/>
          <w:sz w:val="24"/>
          <w:szCs w:val="24"/>
        </w:rPr>
        <w:t xml:space="preserve"> for first 5 years, 12% for next 5 years, 15% for next 5 years etc. </w:t>
      </w:r>
      <w:proofErr w:type="spellStart"/>
      <w:r w:rsidRPr="00B02B78">
        <w:rPr>
          <w:rFonts w:ascii="Times New Roman" w:hAnsi="Times New Roman" w:cs="Times New Roman"/>
          <w:sz w:val="24"/>
          <w:szCs w:val="24"/>
        </w:rPr>
        <w:t>RoE</w:t>
      </w:r>
      <w:proofErr w:type="spellEnd"/>
      <w:r w:rsidRPr="00B02B78">
        <w:rPr>
          <w:rFonts w:ascii="Times New Roman" w:hAnsi="Times New Roman" w:cs="Times New Roman"/>
          <w:sz w:val="24"/>
          <w:szCs w:val="24"/>
        </w:rPr>
        <w:t xml:space="preserve"> of existing stations shall be kept at 100 basis points over the actual interest on debt capital. </w:t>
      </w:r>
    </w:p>
    <w:p w14:paraId="4BCF9768" w14:textId="77777777" w:rsidR="00B02B78" w:rsidRPr="00B02B78" w:rsidRDefault="00B02B78" w:rsidP="00B02B78">
      <w:pPr>
        <w:pStyle w:val="ListParagraph"/>
        <w:numPr>
          <w:ilvl w:val="0"/>
          <w:numId w:val="1"/>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Increase of 50 basis point for hydro stations with storage/pumped hydro storage is a progressive proposition. However, the base rate may be considered in gradually increasing manner.</w:t>
      </w:r>
    </w:p>
    <w:p w14:paraId="75F06165" w14:textId="77777777" w:rsidR="00B02B78" w:rsidRPr="00B02B78" w:rsidRDefault="00B02B78" w:rsidP="00B02B78">
      <w:pPr>
        <w:pStyle w:val="ListParagraph"/>
        <w:spacing w:line="360" w:lineRule="auto"/>
        <w:jc w:val="both"/>
        <w:rPr>
          <w:rFonts w:ascii="Times New Roman" w:hAnsi="Times New Roman" w:cs="Times New Roman"/>
          <w:sz w:val="24"/>
          <w:szCs w:val="24"/>
        </w:rPr>
      </w:pPr>
    </w:p>
    <w:p w14:paraId="21D5601F" w14:textId="77777777" w:rsidR="00B02B78" w:rsidRPr="00B02B78" w:rsidRDefault="00B02B78" w:rsidP="00B02B78">
      <w:pPr>
        <w:spacing w:line="360" w:lineRule="auto"/>
        <w:jc w:val="both"/>
        <w:rPr>
          <w:rFonts w:ascii="Times New Roman" w:hAnsi="Times New Roman" w:cs="Times New Roman"/>
          <w:b/>
          <w:bCs/>
          <w:sz w:val="24"/>
          <w:szCs w:val="24"/>
          <w:u w:val="single"/>
        </w:rPr>
      </w:pPr>
      <w:r w:rsidRPr="00B02B78">
        <w:rPr>
          <w:rFonts w:ascii="Times New Roman" w:hAnsi="Times New Roman" w:cs="Times New Roman"/>
          <w:b/>
          <w:bCs/>
          <w:sz w:val="24"/>
          <w:szCs w:val="24"/>
          <w:u w:val="single"/>
        </w:rPr>
        <w:t>NAPAF</w:t>
      </w:r>
      <w:r w:rsidRPr="00B02B78">
        <w:rPr>
          <w:rFonts w:ascii="Times New Roman" w:hAnsi="Times New Roman" w:cs="Times New Roman"/>
          <w:b/>
          <w:bCs/>
          <w:sz w:val="24"/>
          <w:szCs w:val="24"/>
        </w:rPr>
        <w:t>: (NEEPCO-AGBPP)</w:t>
      </w:r>
    </w:p>
    <w:p w14:paraId="1A602342" w14:textId="1C7F223E" w:rsidR="00B02B78" w:rsidRDefault="00B02B78" w:rsidP="00B02B78">
      <w:pPr>
        <w:pStyle w:val="ListParagraph"/>
        <w:numPr>
          <w:ilvl w:val="0"/>
          <w:numId w:val="2"/>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 xml:space="preserve">Reduction of NAPAF is a very detrimental proposition for the beneficiary Discoms. Arrangement of fuel is the full responsibility of the Generator and the FSA is not a </w:t>
      </w:r>
      <w:r w:rsidRPr="00B02B78">
        <w:rPr>
          <w:rFonts w:ascii="Times New Roman" w:hAnsi="Times New Roman" w:cs="Times New Roman"/>
          <w:sz w:val="24"/>
          <w:szCs w:val="24"/>
        </w:rPr>
        <w:t>back-to-back</w:t>
      </w:r>
      <w:r w:rsidRPr="00B02B78">
        <w:rPr>
          <w:rFonts w:ascii="Times New Roman" w:hAnsi="Times New Roman" w:cs="Times New Roman"/>
          <w:sz w:val="24"/>
          <w:szCs w:val="24"/>
        </w:rPr>
        <w:t xml:space="preserve"> arrangement to the PPA. As such, any such relaxation will put undue benefits to the Genco at the cost of ordinary consumers. </w:t>
      </w:r>
    </w:p>
    <w:p w14:paraId="5666BFC4" w14:textId="77777777" w:rsidR="00B02B78" w:rsidRDefault="00B02B78" w:rsidP="00B02B78">
      <w:pPr>
        <w:pStyle w:val="ListParagraph"/>
        <w:numPr>
          <w:ilvl w:val="0"/>
          <w:numId w:val="2"/>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It is important to note that the project is already allowed a very low NAPAF in comparison to contemporary stations.</w:t>
      </w:r>
    </w:p>
    <w:p w14:paraId="28A094F6" w14:textId="03E814FC" w:rsidR="00B02B78" w:rsidRDefault="00B02B78" w:rsidP="00B02B78">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In this context, reference may be drawn to actual PAF for the stations in recent years. Actual PAF for FY 2020-21 and FY 2021-22 as submitted by the entity in the course of proceeding in Petition No. </w:t>
      </w:r>
      <w:r w:rsidRPr="00B02B78">
        <w:rPr>
          <w:rFonts w:ascii="Times New Roman" w:hAnsi="Times New Roman" w:cs="Times New Roman"/>
          <w:sz w:val="24"/>
          <w:szCs w:val="24"/>
        </w:rPr>
        <w:t>175/MP/2020</w:t>
      </w:r>
      <w:r>
        <w:rPr>
          <w:rFonts w:ascii="Times New Roman" w:hAnsi="Times New Roman" w:cs="Times New Roman"/>
          <w:sz w:val="24"/>
          <w:szCs w:val="24"/>
        </w:rPr>
        <w:t xml:space="preserve"> is shown below:</w:t>
      </w:r>
    </w:p>
    <w:tbl>
      <w:tblPr>
        <w:tblW w:w="5171" w:type="dxa"/>
        <w:jc w:val="center"/>
        <w:tblLook w:val="04A0" w:firstRow="1" w:lastRow="0" w:firstColumn="1" w:lastColumn="0" w:noHBand="0" w:noVBand="1"/>
      </w:tblPr>
      <w:tblGrid>
        <w:gridCol w:w="1413"/>
        <w:gridCol w:w="2126"/>
        <w:gridCol w:w="1632"/>
      </w:tblGrid>
      <w:tr w:rsidR="00B02B78" w:rsidRPr="00B02B78" w14:paraId="5617B966" w14:textId="77777777" w:rsidTr="00B02B78">
        <w:trPr>
          <w:trHeight w:val="546"/>
          <w:jc w:val="center"/>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BB210" w14:textId="77777777" w:rsidR="00B02B78" w:rsidRPr="00B02B78" w:rsidRDefault="00B02B78" w:rsidP="00B02B78">
            <w:pPr>
              <w:spacing w:after="0" w:line="360" w:lineRule="auto"/>
              <w:rPr>
                <w:rFonts w:ascii="Times New Roman" w:eastAsia="Times New Roman" w:hAnsi="Times New Roman" w:cs="Times New Roman"/>
                <w:color w:val="000000"/>
                <w:kern w:val="0"/>
                <w:sz w:val="24"/>
                <w:szCs w:val="24"/>
                <w:lang w:eastAsia="en-IN" w:bidi="hi-IN"/>
                <w14:ligatures w14:val="none"/>
              </w:rPr>
            </w:pPr>
            <w:r w:rsidRPr="00B02B78">
              <w:rPr>
                <w:rFonts w:ascii="Times New Roman" w:eastAsia="Times New Roman" w:hAnsi="Times New Roman" w:cs="Times New Roman"/>
                <w:color w:val="000000"/>
                <w:kern w:val="0"/>
                <w:sz w:val="24"/>
                <w:szCs w:val="24"/>
                <w:lang w:eastAsia="en-IN" w:bidi="hi-IN"/>
                <w14:ligatures w14:val="none"/>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0C4AE336" w14:textId="08442A7E" w:rsidR="00B02B78" w:rsidRPr="00B02B78" w:rsidRDefault="00B02B78" w:rsidP="00B02B78">
            <w:pPr>
              <w:spacing w:after="0" w:line="360" w:lineRule="auto"/>
              <w:jc w:val="center"/>
              <w:rPr>
                <w:rFonts w:ascii="Times New Roman" w:eastAsia="Times New Roman" w:hAnsi="Times New Roman" w:cs="Times New Roman"/>
                <w:b/>
                <w:bCs/>
                <w:color w:val="000000"/>
                <w:kern w:val="0"/>
                <w:sz w:val="24"/>
                <w:szCs w:val="24"/>
                <w:lang w:eastAsia="en-IN" w:bidi="hi-IN"/>
                <w14:ligatures w14:val="none"/>
              </w:rPr>
            </w:pPr>
            <w:r>
              <w:rPr>
                <w:rFonts w:ascii="Times New Roman" w:eastAsia="Times New Roman" w:hAnsi="Times New Roman" w:cs="Times New Roman"/>
                <w:b/>
                <w:bCs/>
                <w:color w:val="000000"/>
                <w:kern w:val="0"/>
                <w:sz w:val="24"/>
                <w:szCs w:val="24"/>
                <w:lang w:eastAsia="en-IN" w:bidi="hi-IN"/>
                <w14:ligatures w14:val="none"/>
              </w:rPr>
              <w:t xml:space="preserve">FY </w:t>
            </w:r>
            <w:r w:rsidRPr="00B02B78">
              <w:rPr>
                <w:rFonts w:ascii="Times New Roman" w:eastAsia="Times New Roman" w:hAnsi="Times New Roman" w:cs="Times New Roman"/>
                <w:b/>
                <w:bCs/>
                <w:color w:val="000000"/>
                <w:kern w:val="0"/>
                <w:sz w:val="24"/>
                <w:szCs w:val="24"/>
                <w:lang w:eastAsia="en-IN" w:bidi="hi-IN"/>
                <w14:ligatures w14:val="none"/>
              </w:rPr>
              <w:t>20-21</w:t>
            </w:r>
          </w:p>
        </w:tc>
        <w:tc>
          <w:tcPr>
            <w:tcW w:w="1632" w:type="dxa"/>
            <w:tcBorders>
              <w:top w:val="single" w:sz="4" w:space="0" w:color="auto"/>
              <w:left w:val="nil"/>
              <w:bottom w:val="single" w:sz="4" w:space="0" w:color="auto"/>
              <w:right w:val="single" w:sz="4" w:space="0" w:color="auto"/>
            </w:tcBorders>
            <w:shd w:val="clear" w:color="auto" w:fill="auto"/>
            <w:noWrap/>
            <w:vAlign w:val="center"/>
            <w:hideMark/>
          </w:tcPr>
          <w:p w14:paraId="2FFB4877" w14:textId="08083A5C" w:rsidR="00B02B78" w:rsidRPr="00B02B78" w:rsidRDefault="00B02B78" w:rsidP="00B02B78">
            <w:pPr>
              <w:spacing w:after="0" w:line="360" w:lineRule="auto"/>
              <w:jc w:val="center"/>
              <w:rPr>
                <w:rFonts w:ascii="Times New Roman" w:eastAsia="Times New Roman" w:hAnsi="Times New Roman" w:cs="Times New Roman"/>
                <w:b/>
                <w:bCs/>
                <w:color w:val="000000"/>
                <w:kern w:val="0"/>
                <w:sz w:val="24"/>
                <w:szCs w:val="24"/>
                <w:lang w:eastAsia="en-IN" w:bidi="hi-IN"/>
                <w14:ligatures w14:val="none"/>
              </w:rPr>
            </w:pPr>
            <w:r>
              <w:rPr>
                <w:rFonts w:ascii="Times New Roman" w:eastAsia="Times New Roman" w:hAnsi="Times New Roman" w:cs="Times New Roman"/>
                <w:b/>
                <w:bCs/>
                <w:color w:val="000000"/>
                <w:kern w:val="0"/>
                <w:sz w:val="24"/>
                <w:szCs w:val="24"/>
                <w:lang w:eastAsia="en-IN" w:bidi="hi-IN"/>
                <w14:ligatures w14:val="none"/>
              </w:rPr>
              <w:t xml:space="preserve">FY </w:t>
            </w:r>
            <w:r w:rsidRPr="00B02B78">
              <w:rPr>
                <w:rFonts w:ascii="Times New Roman" w:eastAsia="Times New Roman" w:hAnsi="Times New Roman" w:cs="Times New Roman"/>
                <w:b/>
                <w:bCs/>
                <w:color w:val="000000"/>
                <w:kern w:val="0"/>
                <w:sz w:val="24"/>
                <w:szCs w:val="24"/>
                <w:lang w:eastAsia="en-IN" w:bidi="hi-IN"/>
                <w14:ligatures w14:val="none"/>
              </w:rPr>
              <w:t>21-22</w:t>
            </w:r>
          </w:p>
        </w:tc>
      </w:tr>
      <w:tr w:rsidR="00B02B78" w:rsidRPr="00B02B78" w14:paraId="5BC5FC45" w14:textId="77777777" w:rsidTr="00B02B78">
        <w:trPr>
          <w:trHeight w:val="288"/>
          <w:jc w:val="center"/>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730526C" w14:textId="77777777" w:rsidR="00B02B78" w:rsidRPr="00B02B78" w:rsidRDefault="00B02B78" w:rsidP="00B02B78">
            <w:pPr>
              <w:spacing w:after="0" w:line="360" w:lineRule="auto"/>
              <w:rPr>
                <w:rFonts w:ascii="Times New Roman" w:eastAsia="Times New Roman" w:hAnsi="Times New Roman" w:cs="Times New Roman"/>
                <w:color w:val="000000"/>
                <w:kern w:val="0"/>
                <w:sz w:val="24"/>
                <w:szCs w:val="24"/>
                <w:lang w:eastAsia="en-IN" w:bidi="hi-IN"/>
                <w14:ligatures w14:val="none"/>
              </w:rPr>
            </w:pPr>
            <w:r w:rsidRPr="00B02B78">
              <w:rPr>
                <w:rFonts w:ascii="Times New Roman" w:eastAsia="Times New Roman" w:hAnsi="Times New Roman" w:cs="Times New Roman"/>
                <w:color w:val="000000"/>
                <w:kern w:val="0"/>
                <w:sz w:val="24"/>
                <w:szCs w:val="24"/>
                <w:lang w:eastAsia="en-IN" w:bidi="hi-IN"/>
                <w14:ligatures w14:val="none"/>
              </w:rPr>
              <w:t>Peak</w:t>
            </w:r>
          </w:p>
        </w:tc>
        <w:tc>
          <w:tcPr>
            <w:tcW w:w="2126" w:type="dxa"/>
            <w:tcBorders>
              <w:top w:val="nil"/>
              <w:left w:val="nil"/>
              <w:bottom w:val="single" w:sz="4" w:space="0" w:color="auto"/>
              <w:right w:val="single" w:sz="4" w:space="0" w:color="auto"/>
            </w:tcBorders>
            <w:shd w:val="clear" w:color="auto" w:fill="auto"/>
            <w:noWrap/>
            <w:vAlign w:val="bottom"/>
            <w:hideMark/>
          </w:tcPr>
          <w:p w14:paraId="43D6E74E" w14:textId="77777777" w:rsidR="00B02B78" w:rsidRPr="00B02B78" w:rsidRDefault="00B02B78" w:rsidP="00B02B78">
            <w:pPr>
              <w:spacing w:after="0" w:line="360" w:lineRule="auto"/>
              <w:jc w:val="right"/>
              <w:rPr>
                <w:rFonts w:ascii="Times New Roman" w:eastAsia="Times New Roman" w:hAnsi="Times New Roman" w:cs="Times New Roman"/>
                <w:color w:val="000000"/>
                <w:kern w:val="0"/>
                <w:sz w:val="24"/>
                <w:szCs w:val="24"/>
                <w:lang w:eastAsia="en-IN" w:bidi="hi-IN"/>
                <w14:ligatures w14:val="none"/>
              </w:rPr>
            </w:pPr>
            <w:r w:rsidRPr="00B02B78">
              <w:rPr>
                <w:rFonts w:ascii="Times New Roman" w:eastAsia="Times New Roman" w:hAnsi="Times New Roman" w:cs="Times New Roman"/>
                <w:color w:val="000000"/>
                <w:kern w:val="0"/>
                <w:sz w:val="24"/>
                <w:szCs w:val="24"/>
                <w:lang w:eastAsia="en-IN" w:bidi="hi-IN"/>
                <w14:ligatures w14:val="none"/>
              </w:rPr>
              <w:t>69.34</w:t>
            </w:r>
          </w:p>
        </w:tc>
        <w:tc>
          <w:tcPr>
            <w:tcW w:w="1632" w:type="dxa"/>
            <w:tcBorders>
              <w:top w:val="nil"/>
              <w:left w:val="nil"/>
              <w:bottom w:val="single" w:sz="4" w:space="0" w:color="auto"/>
              <w:right w:val="single" w:sz="4" w:space="0" w:color="auto"/>
            </w:tcBorders>
            <w:shd w:val="clear" w:color="auto" w:fill="auto"/>
            <w:noWrap/>
            <w:vAlign w:val="bottom"/>
            <w:hideMark/>
          </w:tcPr>
          <w:p w14:paraId="26746EA8" w14:textId="77777777" w:rsidR="00B02B78" w:rsidRPr="00B02B78" w:rsidRDefault="00B02B78" w:rsidP="00B02B78">
            <w:pPr>
              <w:spacing w:after="0" w:line="360" w:lineRule="auto"/>
              <w:jc w:val="right"/>
              <w:rPr>
                <w:rFonts w:ascii="Times New Roman" w:eastAsia="Times New Roman" w:hAnsi="Times New Roman" w:cs="Times New Roman"/>
                <w:color w:val="000000"/>
                <w:kern w:val="0"/>
                <w:sz w:val="24"/>
                <w:szCs w:val="24"/>
                <w:lang w:eastAsia="en-IN" w:bidi="hi-IN"/>
                <w14:ligatures w14:val="none"/>
              </w:rPr>
            </w:pPr>
            <w:r w:rsidRPr="00B02B78">
              <w:rPr>
                <w:rFonts w:ascii="Times New Roman" w:eastAsia="Times New Roman" w:hAnsi="Times New Roman" w:cs="Times New Roman"/>
                <w:color w:val="000000"/>
                <w:kern w:val="0"/>
                <w:sz w:val="24"/>
                <w:szCs w:val="24"/>
                <w:lang w:eastAsia="en-IN" w:bidi="hi-IN"/>
                <w14:ligatures w14:val="none"/>
              </w:rPr>
              <w:t>71.12</w:t>
            </w:r>
          </w:p>
        </w:tc>
      </w:tr>
      <w:tr w:rsidR="00B02B78" w:rsidRPr="00B02B78" w14:paraId="740EBECD" w14:textId="77777777" w:rsidTr="00B02B78">
        <w:trPr>
          <w:trHeight w:val="288"/>
          <w:jc w:val="center"/>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56BC9B8" w14:textId="77777777" w:rsidR="00B02B78" w:rsidRPr="00B02B78" w:rsidRDefault="00B02B78" w:rsidP="00B02B78">
            <w:pPr>
              <w:spacing w:after="0" w:line="360" w:lineRule="auto"/>
              <w:rPr>
                <w:rFonts w:ascii="Times New Roman" w:eastAsia="Times New Roman" w:hAnsi="Times New Roman" w:cs="Times New Roman"/>
                <w:color w:val="000000"/>
                <w:kern w:val="0"/>
                <w:sz w:val="24"/>
                <w:szCs w:val="24"/>
                <w:lang w:eastAsia="en-IN" w:bidi="hi-IN"/>
                <w14:ligatures w14:val="none"/>
              </w:rPr>
            </w:pPr>
            <w:r w:rsidRPr="00B02B78">
              <w:rPr>
                <w:rFonts w:ascii="Times New Roman" w:eastAsia="Times New Roman" w:hAnsi="Times New Roman" w:cs="Times New Roman"/>
                <w:color w:val="000000"/>
                <w:kern w:val="0"/>
                <w:sz w:val="24"/>
                <w:szCs w:val="24"/>
                <w:lang w:eastAsia="en-IN" w:bidi="hi-IN"/>
                <w14:ligatures w14:val="none"/>
              </w:rPr>
              <w:t>Off peak</w:t>
            </w:r>
          </w:p>
        </w:tc>
        <w:tc>
          <w:tcPr>
            <w:tcW w:w="2126" w:type="dxa"/>
            <w:tcBorders>
              <w:top w:val="nil"/>
              <w:left w:val="nil"/>
              <w:bottom w:val="single" w:sz="4" w:space="0" w:color="auto"/>
              <w:right w:val="single" w:sz="4" w:space="0" w:color="auto"/>
            </w:tcBorders>
            <w:shd w:val="clear" w:color="auto" w:fill="auto"/>
            <w:noWrap/>
            <w:vAlign w:val="bottom"/>
            <w:hideMark/>
          </w:tcPr>
          <w:p w14:paraId="23266BD7" w14:textId="77777777" w:rsidR="00B02B78" w:rsidRPr="00B02B78" w:rsidRDefault="00B02B78" w:rsidP="00B02B78">
            <w:pPr>
              <w:spacing w:after="0" w:line="360" w:lineRule="auto"/>
              <w:jc w:val="right"/>
              <w:rPr>
                <w:rFonts w:ascii="Times New Roman" w:eastAsia="Times New Roman" w:hAnsi="Times New Roman" w:cs="Times New Roman"/>
                <w:color w:val="000000"/>
                <w:kern w:val="0"/>
                <w:sz w:val="24"/>
                <w:szCs w:val="24"/>
                <w:lang w:eastAsia="en-IN" w:bidi="hi-IN"/>
                <w14:ligatures w14:val="none"/>
              </w:rPr>
            </w:pPr>
            <w:r w:rsidRPr="00B02B78">
              <w:rPr>
                <w:rFonts w:ascii="Times New Roman" w:eastAsia="Times New Roman" w:hAnsi="Times New Roman" w:cs="Times New Roman"/>
                <w:color w:val="000000"/>
                <w:kern w:val="0"/>
                <w:sz w:val="24"/>
                <w:szCs w:val="24"/>
                <w:lang w:eastAsia="en-IN" w:bidi="hi-IN"/>
                <w14:ligatures w14:val="none"/>
              </w:rPr>
              <w:t>69.84</w:t>
            </w:r>
          </w:p>
        </w:tc>
        <w:tc>
          <w:tcPr>
            <w:tcW w:w="1632" w:type="dxa"/>
            <w:tcBorders>
              <w:top w:val="nil"/>
              <w:left w:val="nil"/>
              <w:bottom w:val="single" w:sz="4" w:space="0" w:color="auto"/>
              <w:right w:val="single" w:sz="4" w:space="0" w:color="auto"/>
            </w:tcBorders>
            <w:shd w:val="clear" w:color="auto" w:fill="auto"/>
            <w:noWrap/>
            <w:vAlign w:val="bottom"/>
            <w:hideMark/>
          </w:tcPr>
          <w:p w14:paraId="1403E256" w14:textId="77777777" w:rsidR="00B02B78" w:rsidRPr="00B02B78" w:rsidRDefault="00B02B78" w:rsidP="00B02B78">
            <w:pPr>
              <w:spacing w:after="0" w:line="360" w:lineRule="auto"/>
              <w:jc w:val="right"/>
              <w:rPr>
                <w:rFonts w:ascii="Times New Roman" w:eastAsia="Times New Roman" w:hAnsi="Times New Roman" w:cs="Times New Roman"/>
                <w:color w:val="000000"/>
                <w:kern w:val="0"/>
                <w:sz w:val="24"/>
                <w:szCs w:val="24"/>
                <w:lang w:eastAsia="en-IN" w:bidi="hi-IN"/>
                <w14:ligatures w14:val="none"/>
              </w:rPr>
            </w:pPr>
            <w:r w:rsidRPr="00B02B78">
              <w:rPr>
                <w:rFonts w:ascii="Times New Roman" w:eastAsia="Times New Roman" w:hAnsi="Times New Roman" w:cs="Times New Roman"/>
                <w:color w:val="000000"/>
                <w:kern w:val="0"/>
                <w:sz w:val="24"/>
                <w:szCs w:val="24"/>
                <w:lang w:eastAsia="en-IN" w:bidi="hi-IN"/>
                <w14:ligatures w14:val="none"/>
              </w:rPr>
              <w:t>71.59</w:t>
            </w:r>
          </w:p>
        </w:tc>
      </w:tr>
    </w:tbl>
    <w:p w14:paraId="500B2FB4" w14:textId="77777777" w:rsidR="00B02B78" w:rsidRDefault="00B02B78" w:rsidP="00B02B78">
      <w:pPr>
        <w:pStyle w:val="ListParagraph"/>
        <w:spacing w:line="360" w:lineRule="auto"/>
        <w:jc w:val="both"/>
        <w:rPr>
          <w:rFonts w:ascii="Times New Roman" w:hAnsi="Times New Roman" w:cs="Times New Roman"/>
          <w:sz w:val="24"/>
          <w:szCs w:val="24"/>
        </w:rPr>
      </w:pPr>
    </w:p>
    <w:p w14:paraId="4BF9280C" w14:textId="22687518" w:rsidR="00B02B78" w:rsidRDefault="00B02B78" w:rsidP="00B02B78">
      <w:pPr>
        <w:pStyle w:val="ListParagraph"/>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Similarly, actual </w:t>
      </w:r>
      <w:r w:rsidR="004B557B" w:rsidRPr="004B557B">
        <w:rPr>
          <w:rFonts w:ascii="Times New Roman" w:hAnsi="Times New Roman" w:cs="Times New Roman"/>
          <w:sz w:val="24"/>
          <w:szCs w:val="24"/>
        </w:rPr>
        <w:t>Cum. Plant Availability Factor</w:t>
      </w:r>
      <w:r>
        <w:rPr>
          <w:rFonts w:ascii="Times New Roman" w:hAnsi="Times New Roman" w:cs="Times New Roman"/>
          <w:sz w:val="24"/>
          <w:szCs w:val="24"/>
        </w:rPr>
        <w:t xml:space="preserve"> for the station for FY 22-23 and FY 23-24 (till January, 2024) as per REA issued by RPC are shown below:</w:t>
      </w:r>
    </w:p>
    <w:tbl>
      <w:tblPr>
        <w:tblW w:w="8505" w:type="dxa"/>
        <w:jc w:val="right"/>
        <w:tblLook w:val="04A0" w:firstRow="1" w:lastRow="0" w:firstColumn="1" w:lastColumn="0" w:noHBand="0" w:noVBand="1"/>
      </w:tblPr>
      <w:tblGrid>
        <w:gridCol w:w="3969"/>
        <w:gridCol w:w="1276"/>
        <w:gridCol w:w="3260"/>
      </w:tblGrid>
      <w:tr w:rsidR="004B557B" w:rsidRPr="004B557B" w14:paraId="03AC8F10" w14:textId="77777777" w:rsidTr="004B557B">
        <w:trPr>
          <w:trHeight w:val="590"/>
          <w:jc w:val="right"/>
        </w:trPr>
        <w:tc>
          <w:tcPr>
            <w:tcW w:w="3969" w:type="dxa"/>
            <w:tcBorders>
              <w:top w:val="nil"/>
              <w:left w:val="nil"/>
              <w:bottom w:val="nil"/>
              <w:right w:val="nil"/>
            </w:tcBorders>
            <w:shd w:val="clear" w:color="auto" w:fill="auto"/>
            <w:noWrap/>
            <w:vAlign w:val="center"/>
            <w:hideMark/>
          </w:tcPr>
          <w:p w14:paraId="14D94500" w14:textId="77777777" w:rsidR="004B557B" w:rsidRPr="004B557B" w:rsidRDefault="004B557B" w:rsidP="004B557B">
            <w:pPr>
              <w:spacing w:after="0" w:line="240" w:lineRule="auto"/>
              <w:rPr>
                <w:rFonts w:ascii="Times New Roman" w:eastAsia="Times New Roman" w:hAnsi="Times New Roman" w:cs="Times New Roman"/>
                <w:kern w:val="0"/>
                <w:sz w:val="24"/>
                <w:szCs w:val="24"/>
                <w:lang w:eastAsia="en-IN" w:bidi="hi-IN"/>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8BC15" w14:textId="77777777" w:rsidR="004B557B" w:rsidRPr="004B557B" w:rsidRDefault="004B557B" w:rsidP="004B557B">
            <w:pPr>
              <w:spacing w:after="0" w:line="240" w:lineRule="auto"/>
              <w:jc w:val="center"/>
              <w:rPr>
                <w:rFonts w:ascii="Times New Roman" w:eastAsia="Times New Roman" w:hAnsi="Times New Roman" w:cs="Times New Roman"/>
                <w:b/>
                <w:bCs/>
                <w:color w:val="000000"/>
                <w:kern w:val="0"/>
                <w:sz w:val="24"/>
                <w:szCs w:val="24"/>
                <w:lang w:eastAsia="en-IN" w:bidi="hi-IN"/>
                <w14:ligatures w14:val="none"/>
              </w:rPr>
            </w:pPr>
            <w:r w:rsidRPr="004B557B">
              <w:rPr>
                <w:rFonts w:ascii="Times New Roman" w:eastAsia="Times New Roman" w:hAnsi="Times New Roman" w:cs="Times New Roman"/>
                <w:b/>
                <w:bCs/>
                <w:color w:val="000000"/>
                <w:kern w:val="0"/>
                <w:sz w:val="24"/>
                <w:szCs w:val="24"/>
                <w:lang w:eastAsia="en-IN" w:bidi="hi-IN"/>
                <w14:ligatures w14:val="none"/>
              </w:rPr>
              <w:t>FY 22-23</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1945C7B" w14:textId="77777777" w:rsidR="004B557B" w:rsidRPr="004B557B" w:rsidRDefault="004B557B" w:rsidP="004B557B">
            <w:pPr>
              <w:spacing w:after="0" w:line="240" w:lineRule="auto"/>
              <w:jc w:val="center"/>
              <w:rPr>
                <w:rFonts w:ascii="Times New Roman" w:eastAsia="Times New Roman" w:hAnsi="Times New Roman" w:cs="Times New Roman"/>
                <w:b/>
                <w:bCs/>
                <w:color w:val="000000"/>
                <w:kern w:val="0"/>
                <w:sz w:val="24"/>
                <w:szCs w:val="24"/>
                <w:lang w:eastAsia="en-IN" w:bidi="hi-IN"/>
                <w14:ligatures w14:val="none"/>
              </w:rPr>
            </w:pPr>
            <w:r w:rsidRPr="004B557B">
              <w:rPr>
                <w:rFonts w:ascii="Times New Roman" w:eastAsia="Times New Roman" w:hAnsi="Times New Roman" w:cs="Times New Roman"/>
                <w:b/>
                <w:bCs/>
                <w:color w:val="000000"/>
                <w:kern w:val="0"/>
                <w:sz w:val="24"/>
                <w:szCs w:val="24"/>
                <w:lang w:eastAsia="en-IN" w:bidi="hi-IN"/>
                <w14:ligatures w14:val="none"/>
              </w:rPr>
              <w:t>FY 23-24 (Till January'24)</w:t>
            </w:r>
          </w:p>
        </w:tc>
      </w:tr>
      <w:tr w:rsidR="004B557B" w:rsidRPr="004B557B" w14:paraId="0E90F59A" w14:textId="77777777" w:rsidTr="004B557B">
        <w:trPr>
          <w:trHeight w:val="312"/>
          <w:jc w:val="right"/>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90B05" w14:textId="77777777" w:rsidR="004B557B" w:rsidRPr="004B557B" w:rsidRDefault="004B557B" w:rsidP="004B557B">
            <w:pPr>
              <w:spacing w:after="0" w:line="240" w:lineRule="auto"/>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 xml:space="preserve">Cum. Plant Availability Factor (PEAK) </w:t>
            </w:r>
            <w:proofErr w:type="spellStart"/>
            <w:r w:rsidRPr="004B557B">
              <w:rPr>
                <w:rFonts w:ascii="Times New Roman" w:eastAsia="Times New Roman" w:hAnsi="Times New Roman" w:cs="Times New Roman"/>
                <w:color w:val="000000"/>
                <w:kern w:val="0"/>
                <w:sz w:val="24"/>
                <w:szCs w:val="24"/>
                <w:lang w:eastAsia="en-IN" w:bidi="hi-IN"/>
                <w14:ligatures w14:val="none"/>
              </w:rPr>
              <w:t>upto</w:t>
            </w:r>
            <w:proofErr w:type="spellEnd"/>
            <w:r w:rsidRPr="004B557B">
              <w:rPr>
                <w:rFonts w:ascii="Times New Roman" w:eastAsia="Times New Roman" w:hAnsi="Times New Roman" w:cs="Times New Roman"/>
                <w:color w:val="000000"/>
                <w:kern w:val="0"/>
                <w:sz w:val="24"/>
                <w:szCs w:val="24"/>
                <w:lang w:eastAsia="en-IN" w:bidi="hi-IN"/>
                <w14:ligatures w14:val="none"/>
              </w:rPr>
              <w:t xml:space="preserve"> current (Cum. </w:t>
            </w:r>
            <w:proofErr w:type="spellStart"/>
            <w:r w:rsidRPr="004B557B">
              <w:rPr>
                <w:rFonts w:ascii="Times New Roman" w:eastAsia="Times New Roman" w:hAnsi="Times New Roman" w:cs="Times New Roman"/>
                <w:color w:val="000000"/>
                <w:kern w:val="0"/>
                <w:sz w:val="24"/>
                <w:szCs w:val="24"/>
                <w:lang w:eastAsia="en-IN" w:bidi="hi-IN"/>
                <w14:ligatures w14:val="none"/>
              </w:rPr>
              <w:t>PAFp</w:t>
            </w:r>
            <w:proofErr w:type="spellEnd"/>
            <w:r w:rsidRPr="004B557B">
              <w:rPr>
                <w:rFonts w:ascii="Times New Roman" w:eastAsia="Times New Roman" w:hAnsi="Times New Roman" w:cs="Times New Roman"/>
                <w:color w:val="000000"/>
                <w:kern w:val="0"/>
                <w:sz w:val="24"/>
                <w:szCs w:val="24"/>
                <w:lang w:eastAsia="en-IN" w:bidi="hi-IN"/>
                <w14:ligatures w14:val="none"/>
              </w:rPr>
              <w:t>) for High Demand Season</w:t>
            </w:r>
          </w:p>
        </w:tc>
        <w:tc>
          <w:tcPr>
            <w:tcW w:w="1276" w:type="dxa"/>
            <w:tcBorders>
              <w:top w:val="nil"/>
              <w:left w:val="nil"/>
              <w:bottom w:val="single" w:sz="4" w:space="0" w:color="auto"/>
              <w:right w:val="single" w:sz="4" w:space="0" w:color="auto"/>
            </w:tcBorders>
            <w:shd w:val="clear" w:color="auto" w:fill="auto"/>
            <w:noWrap/>
            <w:vAlign w:val="center"/>
            <w:hideMark/>
          </w:tcPr>
          <w:p w14:paraId="262866C1"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67.72</w:t>
            </w:r>
          </w:p>
        </w:tc>
        <w:tc>
          <w:tcPr>
            <w:tcW w:w="3260" w:type="dxa"/>
            <w:tcBorders>
              <w:top w:val="nil"/>
              <w:left w:val="nil"/>
              <w:bottom w:val="single" w:sz="4" w:space="0" w:color="auto"/>
              <w:right w:val="single" w:sz="4" w:space="0" w:color="auto"/>
            </w:tcBorders>
            <w:shd w:val="clear" w:color="auto" w:fill="auto"/>
            <w:noWrap/>
            <w:vAlign w:val="center"/>
            <w:hideMark/>
          </w:tcPr>
          <w:p w14:paraId="76FACCD5"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74.00</w:t>
            </w:r>
          </w:p>
        </w:tc>
      </w:tr>
      <w:tr w:rsidR="004B557B" w:rsidRPr="004B557B" w14:paraId="606AD9FC" w14:textId="77777777" w:rsidTr="004B557B">
        <w:trPr>
          <w:trHeight w:val="312"/>
          <w:jc w:val="right"/>
        </w:trPr>
        <w:tc>
          <w:tcPr>
            <w:tcW w:w="3969" w:type="dxa"/>
            <w:tcBorders>
              <w:top w:val="nil"/>
              <w:left w:val="single" w:sz="4" w:space="0" w:color="auto"/>
              <w:bottom w:val="single" w:sz="4" w:space="0" w:color="auto"/>
              <w:right w:val="single" w:sz="4" w:space="0" w:color="auto"/>
            </w:tcBorders>
            <w:shd w:val="clear" w:color="auto" w:fill="auto"/>
            <w:noWrap/>
            <w:vAlign w:val="center"/>
            <w:hideMark/>
          </w:tcPr>
          <w:p w14:paraId="6A2ACFE9" w14:textId="77777777" w:rsidR="004B557B" w:rsidRPr="004B557B" w:rsidRDefault="004B557B" w:rsidP="004B557B">
            <w:pPr>
              <w:spacing w:after="0" w:line="240" w:lineRule="auto"/>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 xml:space="preserve">Cum. Plant Availability Factor (OFF-PEAK) </w:t>
            </w:r>
            <w:proofErr w:type="spellStart"/>
            <w:r w:rsidRPr="004B557B">
              <w:rPr>
                <w:rFonts w:ascii="Times New Roman" w:eastAsia="Times New Roman" w:hAnsi="Times New Roman" w:cs="Times New Roman"/>
                <w:color w:val="000000"/>
                <w:kern w:val="0"/>
                <w:sz w:val="24"/>
                <w:szCs w:val="24"/>
                <w:lang w:eastAsia="en-IN" w:bidi="hi-IN"/>
                <w14:ligatures w14:val="none"/>
              </w:rPr>
              <w:t>upto</w:t>
            </w:r>
            <w:proofErr w:type="spellEnd"/>
            <w:r w:rsidRPr="004B557B">
              <w:rPr>
                <w:rFonts w:ascii="Times New Roman" w:eastAsia="Times New Roman" w:hAnsi="Times New Roman" w:cs="Times New Roman"/>
                <w:color w:val="000000"/>
                <w:kern w:val="0"/>
                <w:sz w:val="24"/>
                <w:szCs w:val="24"/>
                <w:lang w:eastAsia="en-IN" w:bidi="hi-IN"/>
                <w14:ligatures w14:val="none"/>
              </w:rPr>
              <w:t xml:space="preserve"> current (Cum. </w:t>
            </w:r>
            <w:proofErr w:type="spellStart"/>
            <w:r w:rsidRPr="004B557B">
              <w:rPr>
                <w:rFonts w:ascii="Times New Roman" w:eastAsia="Times New Roman" w:hAnsi="Times New Roman" w:cs="Times New Roman"/>
                <w:color w:val="000000"/>
                <w:kern w:val="0"/>
                <w:sz w:val="24"/>
                <w:szCs w:val="24"/>
                <w:lang w:eastAsia="en-IN" w:bidi="hi-IN"/>
                <w14:ligatures w14:val="none"/>
              </w:rPr>
              <w:t>PAFop</w:t>
            </w:r>
            <w:proofErr w:type="spellEnd"/>
            <w:r w:rsidRPr="004B557B">
              <w:rPr>
                <w:rFonts w:ascii="Times New Roman" w:eastAsia="Times New Roman" w:hAnsi="Times New Roman" w:cs="Times New Roman"/>
                <w:color w:val="000000"/>
                <w:kern w:val="0"/>
                <w:sz w:val="24"/>
                <w:szCs w:val="24"/>
                <w:lang w:eastAsia="en-IN" w:bidi="hi-IN"/>
                <w14:ligatures w14:val="none"/>
              </w:rPr>
              <w:t>) for High Demand Season</w:t>
            </w:r>
          </w:p>
        </w:tc>
        <w:tc>
          <w:tcPr>
            <w:tcW w:w="1276" w:type="dxa"/>
            <w:tcBorders>
              <w:top w:val="nil"/>
              <w:left w:val="nil"/>
              <w:bottom w:val="single" w:sz="4" w:space="0" w:color="auto"/>
              <w:right w:val="single" w:sz="4" w:space="0" w:color="auto"/>
            </w:tcBorders>
            <w:shd w:val="clear" w:color="auto" w:fill="auto"/>
            <w:noWrap/>
            <w:vAlign w:val="center"/>
            <w:hideMark/>
          </w:tcPr>
          <w:p w14:paraId="07771BFA"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70.04</w:t>
            </w:r>
          </w:p>
        </w:tc>
        <w:tc>
          <w:tcPr>
            <w:tcW w:w="3260" w:type="dxa"/>
            <w:tcBorders>
              <w:top w:val="nil"/>
              <w:left w:val="nil"/>
              <w:bottom w:val="single" w:sz="4" w:space="0" w:color="auto"/>
              <w:right w:val="single" w:sz="4" w:space="0" w:color="auto"/>
            </w:tcBorders>
            <w:shd w:val="clear" w:color="auto" w:fill="auto"/>
            <w:noWrap/>
            <w:vAlign w:val="center"/>
            <w:hideMark/>
          </w:tcPr>
          <w:p w14:paraId="7F7902BC"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74.60</w:t>
            </w:r>
          </w:p>
        </w:tc>
      </w:tr>
      <w:tr w:rsidR="004B557B" w:rsidRPr="004B557B" w14:paraId="17713E65" w14:textId="77777777" w:rsidTr="004B557B">
        <w:trPr>
          <w:trHeight w:val="312"/>
          <w:jc w:val="right"/>
        </w:trPr>
        <w:tc>
          <w:tcPr>
            <w:tcW w:w="3969" w:type="dxa"/>
            <w:tcBorders>
              <w:top w:val="nil"/>
              <w:left w:val="single" w:sz="4" w:space="0" w:color="auto"/>
              <w:bottom w:val="single" w:sz="4" w:space="0" w:color="auto"/>
              <w:right w:val="single" w:sz="4" w:space="0" w:color="auto"/>
            </w:tcBorders>
            <w:shd w:val="clear" w:color="auto" w:fill="auto"/>
            <w:noWrap/>
            <w:vAlign w:val="center"/>
            <w:hideMark/>
          </w:tcPr>
          <w:p w14:paraId="7E3983C4" w14:textId="77777777" w:rsidR="004B557B" w:rsidRPr="004B557B" w:rsidRDefault="004B557B" w:rsidP="004B557B">
            <w:pPr>
              <w:spacing w:after="0" w:line="240" w:lineRule="auto"/>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 xml:space="preserve">Cum. Plant Availability Factor (PEAK) </w:t>
            </w:r>
            <w:proofErr w:type="spellStart"/>
            <w:r w:rsidRPr="004B557B">
              <w:rPr>
                <w:rFonts w:ascii="Times New Roman" w:eastAsia="Times New Roman" w:hAnsi="Times New Roman" w:cs="Times New Roman"/>
                <w:color w:val="000000"/>
                <w:kern w:val="0"/>
                <w:sz w:val="24"/>
                <w:szCs w:val="24"/>
                <w:lang w:eastAsia="en-IN" w:bidi="hi-IN"/>
                <w14:ligatures w14:val="none"/>
              </w:rPr>
              <w:t>upto</w:t>
            </w:r>
            <w:proofErr w:type="spellEnd"/>
            <w:r w:rsidRPr="004B557B">
              <w:rPr>
                <w:rFonts w:ascii="Times New Roman" w:eastAsia="Times New Roman" w:hAnsi="Times New Roman" w:cs="Times New Roman"/>
                <w:color w:val="000000"/>
                <w:kern w:val="0"/>
                <w:sz w:val="24"/>
                <w:szCs w:val="24"/>
                <w:lang w:eastAsia="en-IN" w:bidi="hi-IN"/>
                <w14:ligatures w14:val="none"/>
              </w:rPr>
              <w:t xml:space="preserve"> current month (Cum. </w:t>
            </w:r>
            <w:proofErr w:type="spellStart"/>
            <w:r w:rsidRPr="004B557B">
              <w:rPr>
                <w:rFonts w:ascii="Times New Roman" w:eastAsia="Times New Roman" w:hAnsi="Times New Roman" w:cs="Times New Roman"/>
                <w:color w:val="000000"/>
                <w:kern w:val="0"/>
                <w:sz w:val="24"/>
                <w:szCs w:val="24"/>
                <w:lang w:eastAsia="en-IN" w:bidi="hi-IN"/>
                <w14:ligatures w14:val="none"/>
              </w:rPr>
              <w:t>PAFp</w:t>
            </w:r>
            <w:proofErr w:type="spellEnd"/>
            <w:r w:rsidRPr="004B557B">
              <w:rPr>
                <w:rFonts w:ascii="Times New Roman" w:eastAsia="Times New Roman" w:hAnsi="Times New Roman" w:cs="Times New Roman"/>
                <w:color w:val="000000"/>
                <w:kern w:val="0"/>
                <w:sz w:val="24"/>
                <w:szCs w:val="24"/>
                <w:lang w:eastAsia="en-IN" w:bidi="hi-IN"/>
                <w14:ligatures w14:val="none"/>
              </w:rPr>
              <w:t>) for Low Demand Season</w:t>
            </w:r>
          </w:p>
        </w:tc>
        <w:tc>
          <w:tcPr>
            <w:tcW w:w="1276" w:type="dxa"/>
            <w:tcBorders>
              <w:top w:val="nil"/>
              <w:left w:val="nil"/>
              <w:bottom w:val="single" w:sz="4" w:space="0" w:color="auto"/>
              <w:right w:val="single" w:sz="4" w:space="0" w:color="auto"/>
            </w:tcBorders>
            <w:shd w:val="clear" w:color="auto" w:fill="auto"/>
            <w:noWrap/>
            <w:vAlign w:val="center"/>
            <w:hideMark/>
          </w:tcPr>
          <w:p w14:paraId="7F80F3A1"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73.08</w:t>
            </w:r>
          </w:p>
        </w:tc>
        <w:tc>
          <w:tcPr>
            <w:tcW w:w="3260" w:type="dxa"/>
            <w:tcBorders>
              <w:top w:val="nil"/>
              <w:left w:val="nil"/>
              <w:bottom w:val="single" w:sz="4" w:space="0" w:color="auto"/>
              <w:right w:val="single" w:sz="4" w:space="0" w:color="auto"/>
            </w:tcBorders>
            <w:shd w:val="clear" w:color="auto" w:fill="auto"/>
            <w:noWrap/>
            <w:vAlign w:val="center"/>
            <w:hideMark/>
          </w:tcPr>
          <w:p w14:paraId="110F6A64"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76.60</w:t>
            </w:r>
          </w:p>
        </w:tc>
      </w:tr>
      <w:tr w:rsidR="004B557B" w:rsidRPr="004B557B" w14:paraId="19180FBE" w14:textId="77777777" w:rsidTr="004B557B">
        <w:trPr>
          <w:trHeight w:val="312"/>
          <w:jc w:val="right"/>
        </w:trPr>
        <w:tc>
          <w:tcPr>
            <w:tcW w:w="3969" w:type="dxa"/>
            <w:tcBorders>
              <w:top w:val="nil"/>
              <w:left w:val="single" w:sz="4" w:space="0" w:color="auto"/>
              <w:bottom w:val="single" w:sz="4" w:space="0" w:color="auto"/>
              <w:right w:val="single" w:sz="4" w:space="0" w:color="auto"/>
            </w:tcBorders>
            <w:shd w:val="clear" w:color="auto" w:fill="auto"/>
            <w:noWrap/>
            <w:vAlign w:val="center"/>
            <w:hideMark/>
          </w:tcPr>
          <w:p w14:paraId="6E7367C7" w14:textId="77777777" w:rsidR="004B557B" w:rsidRPr="004B557B" w:rsidRDefault="004B557B" w:rsidP="004B557B">
            <w:pPr>
              <w:spacing w:after="0" w:line="240" w:lineRule="auto"/>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 xml:space="preserve">Cum. Plant Availability Factor (OFF-PEAK) </w:t>
            </w:r>
            <w:proofErr w:type="spellStart"/>
            <w:r w:rsidRPr="004B557B">
              <w:rPr>
                <w:rFonts w:ascii="Times New Roman" w:eastAsia="Times New Roman" w:hAnsi="Times New Roman" w:cs="Times New Roman"/>
                <w:color w:val="000000"/>
                <w:kern w:val="0"/>
                <w:sz w:val="24"/>
                <w:szCs w:val="24"/>
                <w:lang w:eastAsia="en-IN" w:bidi="hi-IN"/>
                <w14:ligatures w14:val="none"/>
              </w:rPr>
              <w:t>upto</w:t>
            </w:r>
            <w:proofErr w:type="spellEnd"/>
            <w:r w:rsidRPr="004B557B">
              <w:rPr>
                <w:rFonts w:ascii="Times New Roman" w:eastAsia="Times New Roman" w:hAnsi="Times New Roman" w:cs="Times New Roman"/>
                <w:color w:val="000000"/>
                <w:kern w:val="0"/>
                <w:sz w:val="24"/>
                <w:szCs w:val="24"/>
                <w:lang w:eastAsia="en-IN" w:bidi="hi-IN"/>
                <w14:ligatures w14:val="none"/>
              </w:rPr>
              <w:t xml:space="preserve"> current month (Cum. </w:t>
            </w:r>
            <w:proofErr w:type="spellStart"/>
            <w:r w:rsidRPr="004B557B">
              <w:rPr>
                <w:rFonts w:ascii="Times New Roman" w:eastAsia="Times New Roman" w:hAnsi="Times New Roman" w:cs="Times New Roman"/>
                <w:color w:val="000000"/>
                <w:kern w:val="0"/>
                <w:sz w:val="24"/>
                <w:szCs w:val="24"/>
                <w:lang w:eastAsia="en-IN" w:bidi="hi-IN"/>
                <w14:ligatures w14:val="none"/>
              </w:rPr>
              <w:t>PAFop</w:t>
            </w:r>
            <w:proofErr w:type="spellEnd"/>
            <w:r w:rsidRPr="004B557B">
              <w:rPr>
                <w:rFonts w:ascii="Times New Roman" w:eastAsia="Times New Roman" w:hAnsi="Times New Roman" w:cs="Times New Roman"/>
                <w:color w:val="000000"/>
                <w:kern w:val="0"/>
                <w:sz w:val="24"/>
                <w:szCs w:val="24"/>
                <w:lang w:eastAsia="en-IN" w:bidi="hi-IN"/>
                <w14:ligatures w14:val="none"/>
              </w:rPr>
              <w:t>) for Low Demand Season</w:t>
            </w:r>
          </w:p>
        </w:tc>
        <w:tc>
          <w:tcPr>
            <w:tcW w:w="1276" w:type="dxa"/>
            <w:tcBorders>
              <w:top w:val="nil"/>
              <w:left w:val="nil"/>
              <w:bottom w:val="single" w:sz="4" w:space="0" w:color="auto"/>
              <w:right w:val="single" w:sz="4" w:space="0" w:color="auto"/>
            </w:tcBorders>
            <w:shd w:val="clear" w:color="auto" w:fill="auto"/>
            <w:noWrap/>
            <w:vAlign w:val="center"/>
            <w:hideMark/>
          </w:tcPr>
          <w:p w14:paraId="5C613B3F"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74.90</w:t>
            </w:r>
          </w:p>
        </w:tc>
        <w:tc>
          <w:tcPr>
            <w:tcW w:w="3260" w:type="dxa"/>
            <w:tcBorders>
              <w:top w:val="nil"/>
              <w:left w:val="nil"/>
              <w:bottom w:val="single" w:sz="4" w:space="0" w:color="auto"/>
              <w:right w:val="single" w:sz="4" w:space="0" w:color="auto"/>
            </w:tcBorders>
            <w:shd w:val="clear" w:color="auto" w:fill="auto"/>
            <w:noWrap/>
            <w:vAlign w:val="center"/>
            <w:hideMark/>
          </w:tcPr>
          <w:p w14:paraId="192AC6C4" w14:textId="77777777" w:rsidR="004B557B" w:rsidRPr="004B557B" w:rsidRDefault="004B557B" w:rsidP="004B557B">
            <w:pPr>
              <w:spacing w:after="0" w:line="240" w:lineRule="auto"/>
              <w:jc w:val="center"/>
              <w:rPr>
                <w:rFonts w:ascii="Times New Roman" w:eastAsia="Times New Roman" w:hAnsi="Times New Roman" w:cs="Times New Roman"/>
                <w:color w:val="000000"/>
                <w:kern w:val="0"/>
                <w:sz w:val="24"/>
                <w:szCs w:val="24"/>
                <w:lang w:eastAsia="en-IN" w:bidi="hi-IN"/>
                <w14:ligatures w14:val="none"/>
              </w:rPr>
            </w:pPr>
            <w:r w:rsidRPr="004B557B">
              <w:rPr>
                <w:rFonts w:ascii="Times New Roman" w:eastAsia="Times New Roman" w:hAnsi="Times New Roman" w:cs="Times New Roman"/>
                <w:color w:val="000000"/>
                <w:kern w:val="0"/>
                <w:sz w:val="24"/>
                <w:szCs w:val="24"/>
                <w:lang w:eastAsia="en-IN" w:bidi="hi-IN"/>
                <w14:ligatures w14:val="none"/>
              </w:rPr>
              <w:t>77.30</w:t>
            </w:r>
          </w:p>
        </w:tc>
      </w:tr>
    </w:tbl>
    <w:p w14:paraId="505641E9" w14:textId="61DBE550" w:rsidR="00B02B78" w:rsidRPr="00B02B78" w:rsidRDefault="00B02B78" w:rsidP="00B02B78">
      <w:pPr>
        <w:pStyle w:val="ListParagraph"/>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 xml:space="preserve"> </w:t>
      </w:r>
    </w:p>
    <w:p w14:paraId="7D85F1FA" w14:textId="33363EB6" w:rsidR="004B557B" w:rsidRDefault="004B557B" w:rsidP="00B02B78">
      <w:pPr>
        <w:pStyle w:val="ListParagraph"/>
        <w:numPr>
          <w:ilvl w:val="0"/>
          <w:numId w:val="2"/>
        </w:numPr>
        <w:spacing w:line="360" w:lineRule="auto"/>
        <w:jc w:val="both"/>
        <w:rPr>
          <w:rFonts w:ascii="Times New Roman" w:hAnsi="Times New Roman" w:cs="Times New Roman"/>
          <w:sz w:val="24"/>
          <w:szCs w:val="24"/>
        </w:rPr>
      </w:pPr>
      <w:r>
        <w:rPr>
          <w:rFonts w:ascii="Times New Roman" w:hAnsi="Times New Roman" w:cs="Times New Roman"/>
          <w:sz w:val="24"/>
          <w:szCs w:val="24"/>
        </w:rPr>
        <w:t>It is clear that the prevalent PAF is more than the proposed 70% in the draft regulation.</w:t>
      </w:r>
    </w:p>
    <w:p w14:paraId="3DDCE617" w14:textId="4E237211" w:rsidR="00B02B78" w:rsidRPr="004B557B" w:rsidRDefault="00B02B78" w:rsidP="00B02B78">
      <w:pPr>
        <w:pStyle w:val="ListParagraph"/>
        <w:numPr>
          <w:ilvl w:val="0"/>
          <w:numId w:val="2"/>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It will be prudent to operate the Generator at optimal capacity with available fuel at standard PAF of 85% and AFC shall be fixed on that capacity only.</w:t>
      </w:r>
    </w:p>
    <w:p w14:paraId="5E73C776" w14:textId="77777777" w:rsidR="00B02B78" w:rsidRPr="00B02B78" w:rsidRDefault="00B02B78" w:rsidP="00B02B78">
      <w:pPr>
        <w:spacing w:line="360" w:lineRule="auto"/>
        <w:jc w:val="both"/>
        <w:rPr>
          <w:rFonts w:ascii="Times New Roman" w:hAnsi="Times New Roman" w:cs="Times New Roman"/>
          <w:sz w:val="24"/>
          <w:szCs w:val="24"/>
        </w:rPr>
      </w:pPr>
      <w:r w:rsidRPr="00B02B78">
        <w:rPr>
          <w:rFonts w:ascii="Times New Roman" w:hAnsi="Times New Roman" w:cs="Times New Roman"/>
          <w:b/>
          <w:bCs/>
          <w:sz w:val="24"/>
          <w:szCs w:val="24"/>
        </w:rPr>
        <w:t>Award of Arbitration</w:t>
      </w:r>
      <w:r w:rsidRPr="00B02B78">
        <w:rPr>
          <w:rFonts w:ascii="Times New Roman" w:hAnsi="Times New Roman" w:cs="Times New Roman"/>
          <w:sz w:val="24"/>
          <w:szCs w:val="24"/>
        </w:rPr>
        <w:t>:</w:t>
      </w:r>
    </w:p>
    <w:p w14:paraId="1AB7E22C" w14:textId="77777777" w:rsidR="00B02B78" w:rsidRPr="00B02B78" w:rsidRDefault="00B02B78" w:rsidP="00B02B78">
      <w:pPr>
        <w:pStyle w:val="ListParagraph"/>
        <w:numPr>
          <w:ilvl w:val="0"/>
          <w:numId w:val="2"/>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 xml:space="preserve">Regulation 91 over and above the connected provisions under regulations 24, 25, 26 and 28 is very discouraging for Discoms. Such blanket provision may lead to unnecessary cost escalation vis-à-vis financial burden to Discoms (eventually to ultimately ordinary consumers) without any role on its part. The provision may be utilised with malafide intent at the cost of ordinary consumers. </w:t>
      </w:r>
    </w:p>
    <w:p w14:paraId="27973BE3" w14:textId="32037FCF" w:rsidR="00B02B78" w:rsidRPr="004B557B" w:rsidRDefault="00B02B78" w:rsidP="004B557B">
      <w:pPr>
        <w:pStyle w:val="ListParagraph"/>
        <w:numPr>
          <w:ilvl w:val="0"/>
          <w:numId w:val="2"/>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 xml:space="preserve">Due diligence on part of the developer before conceiving a project is pre-requisite. Any such eventualities have to be assessed before furthering the project. Even in case of any unwarranted developments, there shall be some provision at the initial cost estimate. Any allowance more than the estimate can’t be allowed to be recovered. It has to be absorbed by the developer out of its </w:t>
      </w:r>
      <w:proofErr w:type="spellStart"/>
      <w:r w:rsidRPr="00B02B78">
        <w:rPr>
          <w:rFonts w:ascii="Times New Roman" w:hAnsi="Times New Roman" w:cs="Times New Roman"/>
          <w:sz w:val="24"/>
          <w:szCs w:val="24"/>
        </w:rPr>
        <w:t>RoE</w:t>
      </w:r>
      <w:proofErr w:type="spellEnd"/>
      <w:r w:rsidRPr="00B02B78">
        <w:rPr>
          <w:rFonts w:ascii="Times New Roman" w:hAnsi="Times New Roman" w:cs="Times New Roman"/>
          <w:sz w:val="24"/>
          <w:szCs w:val="24"/>
        </w:rPr>
        <w:t>.</w:t>
      </w:r>
    </w:p>
    <w:p w14:paraId="6FE13D44" w14:textId="77777777" w:rsidR="00B02B78" w:rsidRPr="00B02B78" w:rsidRDefault="00B02B78" w:rsidP="00B02B78">
      <w:pPr>
        <w:spacing w:line="360" w:lineRule="auto"/>
        <w:jc w:val="both"/>
        <w:rPr>
          <w:rFonts w:ascii="Times New Roman" w:hAnsi="Times New Roman" w:cs="Times New Roman"/>
          <w:sz w:val="24"/>
          <w:szCs w:val="24"/>
        </w:rPr>
      </w:pPr>
      <w:r w:rsidRPr="00B02B78">
        <w:rPr>
          <w:rFonts w:ascii="Times New Roman" w:hAnsi="Times New Roman" w:cs="Times New Roman"/>
          <w:b/>
          <w:bCs/>
          <w:sz w:val="24"/>
          <w:szCs w:val="24"/>
        </w:rPr>
        <w:t>Special Allowance for Coal-based/Lignite fired Thermal Generating station</w:t>
      </w:r>
      <w:r w:rsidRPr="00B02B78">
        <w:rPr>
          <w:rFonts w:ascii="Times New Roman" w:hAnsi="Times New Roman" w:cs="Times New Roman"/>
          <w:sz w:val="24"/>
          <w:szCs w:val="24"/>
        </w:rPr>
        <w:t>:</w:t>
      </w:r>
    </w:p>
    <w:p w14:paraId="2EF856AF" w14:textId="77777777" w:rsidR="00B02B78" w:rsidRPr="00B02B78" w:rsidRDefault="00B02B78" w:rsidP="00B02B78">
      <w:pPr>
        <w:pStyle w:val="ListParagraph"/>
        <w:numPr>
          <w:ilvl w:val="0"/>
          <w:numId w:val="3"/>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Special Allowance under regulation 28 has proposed Rs. 10.75 lakh/MW giving 13% hike over existing Rs. 9.5 lakh/MW.</w:t>
      </w:r>
    </w:p>
    <w:p w14:paraId="08225085" w14:textId="77777777" w:rsidR="00B02B78" w:rsidRPr="00B02B78" w:rsidRDefault="00B02B78" w:rsidP="00B02B78">
      <w:pPr>
        <w:pStyle w:val="ListParagraph"/>
        <w:numPr>
          <w:ilvl w:val="0"/>
          <w:numId w:val="3"/>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Generating station which has availed the Special Allowance during the tariff period 2019-24 may be kept outside the purview of this regulation.</w:t>
      </w:r>
    </w:p>
    <w:p w14:paraId="2777A2BC" w14:textId="77777777" w:rsidR="00B02B78" w:rsidRPr="00B02B78" w:rsidRDefault="00B02B78" w:rsidP="00B02B78">
      <w:pPr>
        <w:spacing w:line="360" w:lineRule="auto"/>
        <w:jc w:val="both"/>
        <w:rPr>
          <w:rFonts w:ascii="Times New Roman" w:hAnsi="Times New Roman" w:cs="Times New Roman"/>
          <w:sz w:val="24"/>
          <w:szCs w:val="24"/>
        </w:rPr>
      </w:pPr>
    </w:p>
    <w:p w14:paraId="33AAC46A" w14:textId="77777777" w:rsidR="00B02B78" w:rsidRPr="00B02B78" w:rsidRDefault="00B02B78" w:rsidP="00B02B78">
      <w:pPr>
        <w:spacing w:line="360" w:lineRule="auto"/>
        <w:jc w:val="both"/>
        <w:rPr>
          <w:rFonts w:ascii="Times New Roman" w:hAnsi="Times New Roman" w:cs="Times New Roman"/>
          <w:sz w:val="24"/>
          <w:szCs w:val="24"/>
        </w:rPr>
      </w:pPr>
      <w:r w:rsidRPr="00B02B78">
        <w:rPr>
          <w:rFonts w:ascii="Times New Roman" w:hAnsi="Times New Roman" w:cs="Times New Roman"/>
          <w:b/>
          <w:bCs/>
          <w:sz w:val="24"/>
          <w:szCs w:val="24"/>
        </w:rPr>
        <w:lastRenderedPageBreak/>
        <w:t>Depreciation</w:t>
      </w:r>
      <w:r w:rsidRPr="00B02B78">
        <w:rPr>
          <w:rFonts w:ascii="Times New Roman" w:hAnsi="Times New Roman" w:cs="Times New Roman"/>
          <w:sz w:val="24"/>
          <w:szCs w:val="24"/>
        </w:rPr>
        <w:t>:</w:t>
      </w:r>
    </w:p>
    <w:p w14:paraId="393DE03D" w14:textId="77777777" w:rsidR="00B02B78" w:rsidRPr="00B02B78" w:rsidRDefault="00B02B78" w:rsidP="00B02B78">
      <w:pPr>
        <w:pStyle w:val="ListParagraph"/>
        <w:numPr>
          <w:ilvl w:val="0"/>
          <w:numId w:val="3"/>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Alignment of relatively reduced depreciation for New Projects doesn’t seem in sync with the useful life considered with 10% salvage value.</w:t>
      </w:r>
    </w:p>
    <w:p w14:paraId="15D053D0" w14:textId="77777777" w:rsidR="00B02B78" w:rsidRPr="00B02B78" w:rsidRDefault="00B02B78" w:rsidP="00B02B78">
      <w:pPr>
        <w:pStyle w:val="ListParagraph"/>
        <w:numPr>
          <w:ilvl w:val="0"/>
          <w:numId w:val="3"/>
        </w:numPr>
        <w:spacing w:line="360" w:lineRule="auto"/>
        <w:jc w:val="both"/>
        <w:rPr>
          <w:rFonts w:ascii="Times New Roman" w:hAnsi="Times New Roman" w:cs="Times New Roman"/>
          <w:sz w:val="24"/>
          <w:szCs w:val="24"/>
        </w:rPr>
      </w:pPr>
      <w:r w:rsidRPr="00B02B78">
        <w:rPr>
          <w:rFonts w:ascii="Times New Roman" w:hAnsi="Times New Roman" w:cs="Times New Roman"/>
          <w:sz w:val="24"/>
          <w:szCs w:val="24"/>
        </w:rPr>
        <w:t>80% increase in depreciation rate for batteries to 9.5% from existing 5.28% will put excessive cost burden to Discoms without any real cash requirement for the developers which in turn will lead to undue enrichment for the developer.</w:t>
      </w:r>
    </w:p>
    <w:p w14:paraId="495F464C" w14:textId="2848BC96" w:rsidR="00DB5872" w:rsidRPr="00B02B78" w:rsidRDefault="004B557B" w:rsidP="004B557B">
      <w:pPr>
        <w:spacing w:before="120" w:after="120" w:line="360" w:lineRule="auto"/>
        <w:jc w:val="center"/>
        <w:rPr>
          <w:rFonts w:ascii="Times New Roman" w:hAnsi="Times New Roman" w:cs="Times New Roman"/>
          <w:sz w:val="24"/>
          <w:szCs w:val="24"/>
        </w:rPr>
      </w:pPr>
      <w:r w:rsidRPr="004B557B">
        <w:rPr>
          <w:rFonts w:ascii="Times New Roman" w:hAnsi="Times New Roman" w:cs="Times New Roman"/>
          <w:sz w:val="40"/>
          <w:szCs w:val="40"/>
        </w:rPr>
        <w:t>******</w:t>
      </w:r>
    </w:p>
    <w:sectPr w:rsidR="00DB5872" w:rsidRPr="00B02B78" w:rsidSect="005A00E0">
      <w:headerReference w:type="default" r:id="rId7"/>
      <w:pgSz w:w="11906" w:h="16838"/>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9CE89" w14:textId="77777777" w:rsidR="005A00E0" w:rsidRDefault="005A00E0" w:rsidP="00C03F3F">
      <w:pPr>
        <w:spacing w:after="0" w:line="240" w:lineRule="auto"/>
      </w:pPr>
      <w:r>
        <w:separator/>
      </w:r>
    </w:p>
  </w:endnote>
  <w:endnote w:type="continuationSeparator" w:id="0">
    <w:p w14:paraId="5C83188A" w14:textId="77777777" w:rsidR="005A00E0" w:rsidRDefault="005A00E0" w:rsidP="00C03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E9D15" w14:textId="77777777" w:rsidR="005A00E0" w:rsidRDefault="005A00E0" w:rsidP="00C03F3F">
      <w:pPr>
        <w:spacing w:after="0" w:line="240" w:lineRule="auto"/>
      </w:pPr>
      <w:r>
        <w:separator/>
      </w:r>
    </w:p>
  </w:footnote>
  <w:footnote w:type="continuationSeparator" w:id="0">
    <w:p w14:paraId="1E11EB35" w14:textId="77777777" w:rsidR="005A00E0" w:rsidRDefault="005A00E0" w:rsidP="00C03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3B49F" w14:textId="7A3DBA0C" w:rsidR="00C03F3F" w:rsidRPr="009F79C2" w:rsidRDefault="00C03F3F" w:rsidP="00C03F3F">
    <w:pPr>
      <w:spacing w:after="240" w:line="360" w:lineRule="auto"/>
      <w:ind w:right="-1038"/>
      <w:jc w:val="right"/>
      <w:rPr>
        <w:rFonts w:ascii="Times New Roman" w:hAnsi="Times New Roman" w:cs="Times New Roman"/>
        <w:b/>
        <w:bCs/>
        <w:i/>
        <w:iCs/>
        <w:sz w:val="24"/>
        <w:szCs w:val="24"/>
        <w:u w:val="single"/>
      </w:rPr>
    </w:pPr>
    <w:r w:rsidRPr="009F79C2">
      <w:rPr>
        <w:rFonts w:ascii="Times New Roman" w:hAnsi="Times New Roman" w:cs="Times New Roman"/>
        <w:b/>
        <w:bCs/>
        <w:i/>
        <w:iCs/>
        <w:sz w:val="24"/>
        <w:szCs w:val="24"/>
        <w:u w:val="single"/>
      </w:rPr>
      <w:t>NILMADHAB DEB</w:t>
    </w:r>
  </w:p>
  <w:p w14:paraId="3D474F5E" w14:textId="73BC9100" w:rsidR="00C03F3F" w:rsidRPr="009F79C2" w:rsidRDefault="00C03F3F" w:rsidP="00C03F3F">
    <w:pPr>
      <w:jc w:val="both"/>
      <w:rPr>
        <w:rFonts w:ascii="Times New Roman" w:hAnsi="Times New Roman" w:cs="Times New Roman"/>
        <w:b/>
        <w:bCs/>
        <w:sz w:val="24"/>
        <w:szCs w:val="24"/>
        <w:u w:val="single"/>
      </w:rPr>
    </w:pPr>
    <w:r w:rsidRPr="009F79C2">
      <w:rPr>
        <w:rFonts w:ascii="Times New Roman" w:hAnsi="Times New Roman" w:cs="Times New Roman"/>
        <w:b/>
        <w:bCs/>
        <w:sz w:val="24"/>
        <w:szCs w:val="24"/>
        <w:u w:val="single"/>
      </w:rPr>
      <w:t>Comments/suggestions/objections:</w:t>
    </w:r>
  </w:p>
  <w:p w14:paraId="75539C50" w14:textId="77777777" w:rsidR="00C03F3F" w:rsidRDefault="00C03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571B36"/>
    <w:multiLevelType w:val="hybridMultilevel"/>
    <w:tmpl w:val="4648C6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E0B0A81"/>
    <w:multiLevelType w:val="hybridMultilevel"/>
    <w:tmpl w:val="ECE0E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3311190"/>
    <w:multiLevelType w:val="hybridMultilevel"/>
    <w:tmpl w:val="0AC0AF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59028278">
    <w:abstractNumId w:val="0"/>
  </w:num>
  <w:num w:numId="2" w16cid:durableId="2032536393">
    <w:abstractNumId w:val="1"/>
  </w:num>
  <w:num w:numId="3" w16cid:durableId="3545761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872"/>
    <w:rsid w:val="00066E2A"/>
    <w:rsid w:val="000E1A42"/>
    <w:rsid w:val="00133CFC"/>
    <w:rsid w:val="00244F3E"/>
    <w:rsid w:val="002464F7"/>
    <w:rsid w:val="003250DD"/>
    <w:rsid w:val="00393727"/>
    <w:rsid w:val="0047255C"/>
    <w:rsid w:val="004B557B"/>
    <w:rsid w:val="004C2C6E"/>
    <w:rsid w:val="00517BBB"/>
    <w:rsid w:val="00525039"/>
    <w:rsid w:val="00551E83"/>
    <w:rsid w:val="005A00E0"/>
    <w:rsid w:val="00723440"/>
    <w:rsid w:val="007E55BB"/>
    <w:rsid w:val="00871165"/>
    <w:rsid w:val="008C0BD3"/>
    <w:rsid w:val="008F2C0A"/>
    <w:rsid w:val="008F5F30"/>
    <w:rsid w:val="00936786"/>
    <w:rsid w:val="0096723D"/>
    <w:rsid w:val="00976B1B"/>
    <w:rsid w:val="009F79C2"/>
    <w:rsid w:val="00AC65E1"/>
    <w:rsid w:val="00B02B78"/>
    <w:rsid w:val="00B26F1D"/>
    <w:rsid w:val="00B5081C"/>
    <w:rsid w:val="00C03F3F"/>
    <w:rsid w:val="00DB5872"/>
    <w:rsid w:val="00FF2C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6F7F9"/>
  <w15:chartTrackingRefBased/>
  <w15:docId w15:val="{2A9F07F6-3415-4ADF-996D-E6A321522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3F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3F3F"/>
  </w:style>
  <w:style w:type="paragraph" w:styleId="Footer">
    <w:name w:val="footer"/>
    <w:basedOn w:val="Normal"/>
    <w:link w:val="FooterChar"/>
    <w:uiPriority w:val="99"/>
    <w:unhideWhenUsed/>
    <w:rsid w:val="00C03F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3F3F"/>
  </w:style>
  <w:style w:type="paragraph" w:styleId="ListParagraph">
    <w:name w:val="List Paragraph"/>
    <w:basedOn w:val="Normal"/>
    <w:uiPriority w:val="34"/>
    <w:qFormat/>
    <w:rsid w:val="00B02B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55035">
      <w:bodyDiv w:val="1"/>
      <w:marLeft w:val="0"/>
      <w:marRight w:val="0"/>
      <w:marTop w:val="0"/>
      <w:marBottom w:val="0"/>
      <w:divBdr>
        <w:top w:val="none" w:sz="0" w:space="0" w:color="auto"/>
        <w:left w:val="none" w:sz="0" w:space="0" w:color="auto"/>
        <w:bottom w:val="none" w:sz="0" w:space="0" w:color="auto"/>
        <w:right w:val="none" w:sz="0" w:space="0" w:color="auto"/>
      </w:divBdr>
    </w:div>
    <w:div w:id="918633553">
      <w:bodyDiv w:val="1"/>
      <w:marLeft w:val="0"/>
      <w:marRight w:val="0"/>
      <w:marTop w:val="0"/>
      <w:marBottom w:val="0"/>
      <w:divBdr>
        <w:top w:val="none" w:sz="0" w:space="0" w:color="auto"/>
        <w:left w:val="none" w:sz="0" w:space="0" w:color="auto"/>
        <w:bottom w:val="none" w:sz="0" w:space="0" w:color="auto"/>
        <w:right w:val="none" w:sz="0" w:space="0" w:color="auto"/>
      </w:divBdr>
    </w:div>
    <w:div w:id="1421946043">
      <w:bodyDiv w:val="1"/>
      <w:marLeft w:val="0"/>
      <w:marRight w:val="0"/>
      <w:marTop w:val="0"/>
      <w:marBottom w:val="0"/>
      <w:divBdr>
        <w:top w:val="none" w:sz="0" w:space="0" w:color="auto"/>
        <w:left w:val="none" w:sz="0" w:space="0" w:color="auto"/>
        <w:bottom w:val="none" w:sz="0" w:space="0" w:color="auto"/>
        <w:right w:val="none" w:sz="0" w:space="0" w:color="auto"/>
      </w:divBdr>
    </w:div>
    <w:div w:id="1754469755">
      <w:bodyDiv w:val="1"/>
      <w:marLeft w:val="0"/>
      <w:marRight w:val="0"/>
      <w:marTop w:val="0"/>
      <w:marBottom w:val="0"/>
      <w:divBdr>
        <w:top w:val="none" w:sz="0" w:space="0" w:color="auto"/>
        <w:left w:val="none" w:sz="0" w:space="0" w:color="auto"/>
        <w:bottom w:val="none" w:sz="0" w:space="0" w:color="auto"/>
        <w:right w:val="none" w:sz="0" w:space="0" w:color="auto"/>
      </w:divBdr>
    </w:div>
    <w:div w:id="1837189704">
      <w:bodyDiv w:val="1"/>
      <w:marLeft w:val="0"/>
      <w:marRight w:val="0"/>
      <w:marTop w:val="0"/>
      <w:marBottom w:val="0"/>
      <w:divBdr>
        <w:top w:val="none" w:sz="0" w:space="0" w:color="auto"/>
        <w:left w:val="none" w:sz="0" w:space="0" w:color="auto"/>
        <w:bottom w:val="none" w:sz="0" w:space="0" w:color="auto"/>
        <w:right w:val="none" w:sz="0" w:space="0" w:color="auto"/>
      </w:divBdr>
    </w:div>
    <w:div w:id="20031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6</Pages>
  <Words>1510</Words>
  <Characters>8609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NILMADHAB DEB</dc:creator>
  <cp:keywords/>
  <dc:description/>
  <cp:lastModifiedBy>NILMADHAB DEB</cp:lastModifiedBy>
  <cp:revision>7</cp:revision>
  <dcterms:created xsi:type="dcterms:W3CDTF">2024-02-09T11:04:00Z</dcterms:created>
  <dcterms:modified xsi:type="dcterms:W3CDTF">2024-02-10T06:26:00Z</dcterms:modified>
</cp:coreProperties>
</file>